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p>
    <w:p w14:paraId="56A6155C" w14:textId="13723680" w:rsidR="000C129B" w:rsidRPr="000C129B" w:rsidRDefault="00E80FF5" w:rsidP="000C129B">
      <w:pPr>
        <w:pStyle w:val="Default"/>
        <w:jc w:val="center"/>
        <w:rPr>
          <w:rFonts w:ascii="Century Gothic" w:hAnsi="Century Gothic" w:cs="Arial"/>
          <w:b/>
        </w:rPr>
      </w:pPr>
      <w:r w:rsidRPr="008B5447">
        <w:rPr>
          <w:rFonts w:ascii="Century Gothic" w:hAnsi="Century Gothic" w:cs="Arial"/>
          <w:b/>
        </w:rPr>
        <w:t xml:space="preserve">INFORME </w:t>
      </w:r>
      <w:r>
        <w:rPr>
          <w:rFonts w:ascii="Century Gothic" w:hAnsi="Century Gothic" w:cs="Arial"/>
          <w:b/>
        </w:rPr>
        <w:t>DE PONENCIA PARA PRIMER DEBATE AL PROYECTO DE LEY</w:t>
      </w:r>
      <w:r w:rsidRPr="008B5447">
        <w:rPr>
          <w:rFonts w:ascii="Century Gothic" w:hAnsi="Century Gothic" w:cs="Arial"/>
          <w:b/>
        </w:rPr>
        <w:t xml:space="preserve"> N</w:t>
      </w:r>
      <w:r>
        <w:rPr>
          <w:rFonts w:ascii="Century Gothic" w:hAnsi="Century Gothic" w:cs="Arial"/>
          <w:b/>
        </w:rPr>
        <w:t xml:space="preserve">o. 124 </w:t>
      </w:r>
      <w:r w:rsidRPr="008B5447">
        <w:rPr>
          <w:rFonts w:ascii="Century Gothic" w:hAnsi="Century Gothic" w:cs="Arial"/>
          <w:b/>
        </w:rPr>
        <w:t xml:space="preserve">DE 2020 CÁMARA </w:t>
      </w:r>
      <w:r w:rsidRPr="00E80FF5">
        <w:rPr>
          <w:rFonts w:ascii="Century Gothic" w:hAnsi="Century Gothic" w:cs="Arial"/>
          <w:b/>
        </w:rPr>
        <w:t>“POR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DELITOS DE ALTO IMPACTO COMETIDOS CONTRA LA INFANCIA Y LA ADOLESCENCIA, Y SE DICTAN OTRAS DISPOSICIONES”</w:t>
      </w: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13DC72CB"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E80FF5">
        <w:rPr>
          <w:rFonts w:ascii="Century Gothic" w:eastAsia="Times New Roman" w:hAnsi="Century Gothic" w:cs="Arial"/>
          <w:bCs/>
          <w:lang w:eastAsia="es-CO"/>
        </w:rPr>
        <w:t>septiembre</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20</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77777777" w:rsidR="009C2884" w:rsidRPr="008B5447" w:rsidRDefault="006C2802"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
          <w:bCs/>
          <w:lang w:eastAsia="es-CO"/>
        </w:rPr>
        <w:t>ALFREDO RAFAEL DELUQUE ZULETA</w:t>
      </w:r>
    </w:p>
    <w:p w14:paraId="7398D094" w14:textId="77777777" w:rsidR="0042722A" w:rsidRPr="008B5447" w:rsidRDefault="0042722A" w:rsidP="009C2884">
      <w:pPr>
        <w:shd w:val="clear" w:color="auto" w:fill="FFFFFF"/>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E80FF5">
      <w:pPr>
        <w:shd w:val="clear" w:color="auto" w:fill="FFFFFF"/>
        <w:jc w:val="both"/>
        <w:rPr>
          <w:rFonts w:ascii="Century Gothic" w:eastAsia="Times New Roman" w:hAnsi="Century Gothic" w:cs="Arial"/>
          <w:bCs/>
          <w:lang w:eastAsia="es-CO"/>
        </w:rPr>
      </w:pPr>
    </w:p>
    <w:p w14:paraId="6522DBD5" w14:textId="07D0A40A" w:rsidR="000C129B" w:rsidRDefault="000C129B" w:rsidP="00E80FF5">
      <w:pPr>
        <w:pStyle w:val="Default"/>
        <w:ind w:left="708"/>
        <w:jc w:val="both"/>
        <w:rPr>
          <w:rFonts w:ascii="Arial" w:hAnsi="Arial" w:cs="Arial"/>
          <w:b/>
          <w:i/>
          <w:color w:val="aut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000DD3" w:rsidRPr="008B5447">
        <w:rPr>
          <w:rFonts w:ascii="Century Gothic" w:eastAsia="Times New Roman" w:hAnsi="Century Gothic" w:cs="Arial"/>
          <w:bCs/>
          <w:lang w:eastAsia="es-CO"/>
        </w:rPr>
        <w:t>de ponencia para primer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Proyecto de Ley No.</w:t>
      </w:r>
      <w:r w:rsidR="00E80FF5">
        <w:rPr>
          <w:rFonts w:ascii="Century Gothic" w:hAnsi="Century Gothic" w:cs="Arial"/>
        </w:rPr>
        <w:t xml:space="preserve"> 124</w:t>
      </w:r>
      <w:r w:rsidR="009C2884" w:rsidRPr="008B5447">
        <w:rPr>
          <w:rFonts w:ascii="Century Gothic" w:hAnsi="Century Gothic" w:cs="Arial"/>
        </w:rPr>
        <w:t xml:space="preserve"> de 2020 </w:t>
      </w:r>
      <w:r w:rsidR="00D66E0B" w:rsidRPr="008B5447">
        <w:rPr>
          <w:rFonts w:ascii="Century Gothic" w:hAnsi="Century Gothic" w:cs="Arial"/>
        </w:rPr>
        <w:t>C</w:t>
      </w:r>
      <w:r w:rsidR="009C2884" w:rsidRPr="008B5447">
        <w:rPr>
          <w:rFonts w:ascii="Century Gothic" w:hAnsi="Century Gothic" w:cs="Arial"/>
        </w:rPr>
        <w:t xml:space="preserve">ámara </w:t>
      </w:r>
      <w:r w:rsidR="00E80FF5" w:rsidRPr="00E80FF5">
        <w:rPr>
          <w:rFonts w:ascii="Century Gothic" w:eastAsia="Times New Roman" w:hAnsi="Century Gothic" w:cs="Arial"/>
          <w:bCs/>
          <w:i/>
          <w:lang w:eastAsia="es-CO"/>
        </w:rPr>
        <w:t>“Por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delitos de alto impacto cometidos contra la infancia y la adolescencia, y se dictan otras disposiciones”</w:t>
      </w:r>
    </w:p>
    <w:p w14:paraId="0F045407" w14:textId="04B9C0B7" w:rsidR="0042722A"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51CDB78F" w14:textId="5C07D13F" w:rsidR="00E80FF5" w:rsidRDefault="0042722A" w:rsidP="00E80FF5">
      <w:pPr>
        <w:pStyle w:val="Default"/>
        <w:jc w:val="both"/>
        <w:rPr>
          <w:rFonts w:ascii="Arial" w:hAnsi="Arial" w:cs="Arial"/>
          <w:b/>
          <w:i/>
          <w:color w:val="auto"/>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80FF5">
        <w:rPr>
          <w:rFonts w:ascii="Century Gothic" w:eastAsia="Times New Roman" w:hAnsi="Century Gothic" w:cs="Arial"/>
          <w:bCs/>
          <w:lang w:eastAsia="es-CO"/>
        </w:rPr>
        <w:t>emos</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E80FF5" w:rsidRPr="00E80FF5">
        <w:rPr>
          <w:rFonts w:ascii="Century Gothic" w:hAnsi="Century Gothic" w:cs="Arial"/>
        </w:rPr>
        <w:t xml:space="preserve"> </w:t>
      </w:r>
      <w:r w:rsidR="00E80FF5">
        <w:rPr>
          <w:rFonts w:ascii="Century Gothic" w:hAnsi="Century Gothic" w:cs="Arial"/>
        </w:rPr>
        <w:t>124</w:t>
      </w:r>
      <w:r w:rsidR="00E80FF5" w:rsidRPr="008B5447">
        <w:rPr>
          <w:rFonts w:ascii="Century Gothic" w:hAnsi="Century Gothic" w:cs="Arial"/>
        </w:rPr>
        <w:t xml:space="preserve"> de 2020 Cámara </w:t>
      </w:r>
      <w:r w:rsidR="00E80FF5" w:rsidRPr="00E80FF5">
        <w:rPr>
          <w:rFonts w:ascii="Century Gothic" w:eastAsia="Times New Roman" w:hAnsi="Century Gothic" w:cs="Arial"/>
          <w:bCs/>
          <w:i/>
          <w:lang w:eastAsia="es-CO"/>
        </w:rPr>
        <w:t xml:space="preserve">“Por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w:t>
      </w:r>
      <w:r w:rsidR="00E80FF5" w:rsidRPr="00E80FF5">
        <w:rPr>
          <w:rFonts w:ascii="Century Gothic" w:eastAsia="Times New Roman" w:hAnsi="Century Gothic" w:cs="Arial"/>
          <w:bCs/>
          <w:i/>
          <w:lang w:eastAsia="es-CO"/>
        </w:rPr>
        <w:lastRenderedPageBreak/>
        <w:t>delitos de alto impacto cometidos contra la infancia y la adolescencia, y se dictan otras disposiciones”</w:t>
      </w:r>
    </w:p>
    <w:p w14:paraId="487EF965" w14:textId="682E4303" w:rsidR="0042722A" w:rsidRPr="000C129B" w:rsidRDefault="0042722A" w:rsidP="000C129B">
      <w:pPr>
        <w:pStyle w:val="Default"/>
        <w:jc w:val="both"/>
        <w:rPr>
          <w:rFonts w:ascii="Arial" w:hAnsi="Arial" w:cs="Arial"/>
          <w:b/>
          <w:i/>
          <w:color w:val="auto"/>
        </w:rPr>
      </w:pPr>
    </w:p>
    <w:p w14:paraId="5775AC15" w14:textId="77777777" w:rsidR="00E80FF5" w:rsidRPr="008B5447" w:rsidRDefault="00E80FF5" w:rsidP="0042722A">
      <w:pPr>
        <w:spacing w:line="360" w:lineRule="auto"/>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032F9C">
      <w:pPr>
        <w:jc w:val="both"/>
        <w:rPr>
          <w:rFonts w:ascii="Century Gothic" w:hAnsi="Century Gothic" w:cs="Arial"/>
        </w:rPr>
      </w:pPr>
    </w:p>
    <w:p w14:paraId="2D2FAE4D" w14:textId="349F595A" w:rsidR="00032F9C" w:rsidRPr="00E80FF5" w:rsidRDefault="00251C43" w:rsidP="00E80FF5">
      <w:pPr>
        <w:jc w:val="both"/>
        <w:rPr>
          <w:rFonts w:ascii="Century Gothic" w:hAnsi="Century Gothic" w:cs="Arial"/>
        </w:rPr>
      </w:pPr>
      <w:r w:rsidRPr="008B5447">
        <w:rPr>
          <w:rFonts w:ascii="Century Gothic" w:hAnsi="Century Gothic" w:cs="Arial"/>
        </w:rPr>
        <w:t xml:space="preserve">El </w:t>
      </w:r>
      <w:r w:rsidR="00CF1628">
        <w:rPr>
          <w:rFonts w:ascii="Century Gothic" w:hAnsi="Century Gothic" w:cs="Arial"/>
        </w:rPr>
        <w:t xml:space="preserve">Proyecto de Ley </w:t>
      </w:r>
      <w:r w:rsidR="00CF1628" w:rsidRPr="008B5447">
        <w:rPr>
          <w:rFonts w:ascii="Century Gothic" w:hAnsi="Century Gothic" w:cs="Arial"/>
        </w:rPr>
        <w:t>No.</w:t>
      </w:r>
      <w:r w:rsidR="00CF1628">
        <w:rPr>
          <w:rFonts w:ascii="Century Gothic" w:hAnsi="Century Gothic" w:cs="Arial"/>
        </w:rPr>
        <w:t xml:space="preserve"> </w:t>
      </w:r>
      <w:r w:rsidR="00E80FF5">
        <w:rPr>
          <w:rFonts w:ascii="Century Gothic" w:hAnsi="Century Gothic" w:cs="Arial"/>
        </w:rPr>
        <w:t xml:space="preserve">124 de 2020 Cámara </w:t>
      </w:r>
      <w:r w:rsidR="00997885">
        <w:rPr>
          <w:rFonts w:ascii="Century Gothic" w:hAnsi="Century Gothic" w:cs="Arial"/>
        </w:rPr>
        <w:t>f</w:t>
      </w:r>
      <w:r w:rsidR="00E80FF5">
        <w:rPr>
          <w:rFonts w:ascii="Century Gothic" w:hAnsi="Century Gothic" w:cs="Arial"/>
        </w:rPr>
        <w:t xml:space="preserve">ue presentado </w:t>
      </w:r>
      <w:r w:rsidR="00E80FF5" w:rsidRPr="00E80FF5">
        <w:rPr>
          <w:rFonts w:ascii="Century Gothic" w:hAnsi="Century Gothic" w:cs="Arial"/>
        </w:rPr>
        <w:t>por el Honorable Senador Alejandro Corrales Escobar</w:t>
      </w:r>
      <w:r w:rsidR="00E80FF5">
        <w:rPr>
          <w:rFonts w:ascii="Century Gothic" w:hAnsi="Century Gothic" w:cs="Arial"/>
        </w:rPr>
        <w:t>, y por</w:t>
      </w:r>
      <w:r w:rsidRPr="008B5447">
        <w:rPr>
          <w:rFonts w:ascii="Century Gothic" w:hAnsi="Century Gothic" w:cs="Arial"/>
        </w:rPr>
        <w:t xml:space="preserve"> </w:t>
      </w:r>
      <w:r w:rsidR="00CF1628">
        <w:rPr>
          <w:rFonts w:ascii="Century Gothic" w:hAnsi="Century Gothic" w:cs="Arial"/>
        </w:rPr>
        <w:t xml:space="preserve">los </w:t>
      </w:r>
      <w:r w:rsidR="00E80FF5" w:rsidRPr="00E80FF5">
        <w:rPr>
          <w:rFonts w:ascii="Century Gothic" w:hAnsi="Century Gothic" w:cs="Arial"/>
        </w:rPr>
        <w:t>HHRR. Gabriel Jaime Vallejo Chujfi, Ruben Darío Molano Piñeros, Juan Espinal Ramirez, Christian Munir Garcés Aljure, Milton Hugo Angulo Viveros, José Jaime Uscátegui Pastrana, Margarita María Restrepo Arango, Juan Manuel Daza Iguaran, Yenica Sugein Acosta Infante, Adriana Magali Matiz Vargas, Julio César Triana Quintero, Erwin Arias Betancur, Harry Giovanny González García, Alfredo Rafael Deluque Z</w:t>
      </w:r>
      <w:r w:rsidR="00E80FF5">
        <w:rPr>
          <w:rFonts w:ascii="Century Gothic" w:hAnsi="Century Gothic" w:cs="Arial"/>
        </w:rPr>
        <w:t>uleta y Nilton Córdoba Manyoma</w:t>
      </w:r>
      <w:r w:rsidR="00E80FF5" w:rsidRPr="00E80FF5">
        <w:rPr>
          <w:rFonts w:ascii="Century Gothic" w:hAnsi="Century Gothic" w:cs="Arial"/>
        </w:rPr>
        <w:t>.</w:t>
      </w:r>
      <w:r w:rsidR="00E80FF5">
        <w:rPr>
          <w:rFonts w:ascii="Century Gothic" w:hAnsi="Century Gothic" w:cs="Arial"/>
        </w:rPr>
        <w:t xml:space="preserve"> </w:t>
      </w:r>
      <w:r w:rsidR="00632DE5">
        <w:rPr>
          <w:rFonts w:ascii="Century Gothic" w:hAnsi="Century Gothic" w:cs="Arial"/>
        </w:rPr>
        <w:t xml:space="preserve">Proyecto publicado en la Gaceta </w:t>
      </w:r>
      <w:r w:rsidR="00E80FF5">
        <w:rPr>
          <w:rFonts w:ascii="Century Gothic" w:hAnsi="Century Gothic" w:cs="Arial"/>
        </w:rPr>
        <w:t>669</w:t>
      </w:r>
      <w:r w:rsidR="00632DE5">
        <w:rPr>
          <w:rFonts w:ascii="Century Gothic" w:hAnsi="Century Gothic" w:cs="Arial"/>
        </w:rPr>
        <w:t xml:space="preserve"> de 2020.</w:t>
      </w:r>
    </w:p>
    <w:p w14:paraId="6C4227E6" w14:textId="18A7F571" w:rsidR="00251C43" w:rsidRPr="008B5447" w:rsidRDefault="00251C43" w:rsidP="009C2884">
      <w:pPr>
        <w:shd w:val="clear" w:color="auto" w:fill="FFFFFF"/>
        <w:jc w:val="both"/>
        <w:rPr>
          <w:rFonts w:ascii="Century Gothic" w:eastAsia="Times New Roman" w:hAnsi="Century Gothic" w:cs="Arial"/>
          <w:b/>
          <w:bCs/>
          <w:lang w:val="es-ES" w:eastAsia="es-CO"/>
        </w:rPr>
      </w:pPr>
    </w:p>
    <w:p w14:paraId="4AFEF06D" w14:textId="7D239765" w:rsidR="00313300" w:rsidRDefault="00632DE5" w:rsidP="00313300">
      <w:pPr>
        <w:jc w:val="both"/>
        <w:rPr>
          <w:rFonts w:eastAsia="Times New Roman"/>
        </w:rPr>
      </w:pPr>
      <w:r w:rsidRPr="00313300">
        <w:rPr>
          <w:rFonts w:ascii="Century Gothic" w:eastAsia="Times New Roman" w:hAnsi="Century Gothic" w:cs="Arial"/>
          <w:bCs/>
          <w:lang w:val="es-ES" w:eastAsia="es-CO"/>
        </w:rPr>
        <w:t>Igualmente, e</w:t>
      </w:r>
      <w:r w:rsidR="0042722A" w:rsidRPr="00313300">
        <w:rPr>
          <w:rFonts w:ascii="Century Gothic" w:eastAsia="Times New Roman" w:hAnsi="Century Gothic" w:cs="Arial"/>
          <w:bCs/>
          <w:lang w:val="es-ES" w:eastAsia="es-CO"/>
        </w:rPr>
        <w:t xml:space="preserve">l pasado </w:t>
      </w:r>
      <w:r w:rsidR="00E80FF5" w:rsidRPr="00313300">
        <w:rPr>
          <w:rFonts w:ascii="Century Gothic" w:eastAsia="Times New Roman" w:hAnsi="Century Gothic" w:cs="Arial"/>
          <w:bCs/>
          <w:lang w:val="es-ES" w:eastAsia="es-CO"/>
        </w:rPr>
        <w:t>27</w:t>
      </w:r>
      <w:r w:rsidR="0042722A" w:rsidRPr="00313300">
        <w:rPr>
          <w:rFonts w:ascii="Century Gothic" w:eastAsia="Times New Roman" w:hAnsi="Century Gothic" w:cs="Arial"/>
          <w:bCs/>
          <w:lang w:val="es-ES" w:eastAsia="es-CO"/>
        </w:rPr>
        <w:t xml:space="preserve"> de </w:t>
      </w:r>
      <w:r w:rsidR="00E91550" w:rsidRPr="00313300">
        <w:rPr>
          <w:rFonts w:ascii="Century Gothic" w:eastAsia="Times New Roman" w:hAnsi="Century Gothic" w:cs="Arial"/>
          <w:bCs/>
          <w:lang w:val="es-ES" w:eastAsia="es-CO"/>
        </w:rPr>
        <w:t>agosto</w:t>
      </w:r>
      <w:r w:rsidR="0042722A" w:rsidRPr="00313300">
        <w:rPr>
          <w:rFonts w:ascii="Century Gothic" w:eastAsia="Times New Roman" w:hAnsi="Century Gothic" w:cs="Arial"/>
          <w:bCs/>
          <w:lang w:val="es-ES" w:eastAsia="es-CO"/>
        </w:rPr>
        <w:t xml:space="preserve"> de 20</w:t>
      </w:r>
      <w:r w:rsidR="00E91550" w:rsidRPr="00313300">
        <w:rPr>
          <w:rFonts w:ascii="Century Gothic" w:eastAsia="Times New Roman" w:hAnsi="Century Gothic" w:cs="Arial"/>
          <w:bCs/>
          <w:lang w:val="es-ES" w:eastAsia="es-CO"/>
        </w:rPr>
        <w:t>20</w:t>
      </w:r>
      <w:r w:rsidR="0042722A" w:rsidRPr="00313300">
        <w:rPr>
          <w:rFonts w:ascii="Century Gothic" w:eastAsia="Times New Roman" w:hAnsi="Century Gothic" w:cs="Arial"/>
          <w:bCs/>
          <w:lang w:val="es-ES" w:eastAsia="es-CO"/>
        </w:rPr>
        <w:t xml:space="preserve">, la Mesa Directiva de la Comisión Primera de la Cámara de Representantes </w:t>
      </w:r>
      <w:r w:rsidR="00032F9C" w:rsidRPr="00313300">
        <w:rPr>
          <w:rFonts w:ascii="Century Gothic" w:eastAsia="Times New Roman" w:hAnsi="Century Gothic" w:cs="Arial"/>
          <w:bCs/>
          <w:lang w:val="es-ES" w:eastAsia="es-CO"/>
        </w:rPr>
        <w:t>designó como ponente</w:t>
      </w:r>
      <w:r w:rsidR="00E80FF5" w:rsidRPr="00313300">
        <w:rPr>
          <w:rFonts w:ascii="Century Gothic" w:eastAsia="Times New Roman" w:hAnsi="Century Gothic" w:cs="Arial"/>
          <w:bCs/>
          <w:lang w:val="es-ES" w:eastAsia="es-CO"/>
        </w:rPr>
        <w:t>s</w:t>
      </w:r>
      <w:r w:rsidR="00032F9C" w:rsidRPr="00313300">
        <w:rPr>
          <w:rFonts w:ascii="Century Gothic" w:eastAsia="Times New Roman" w:hAnsi="Century Gothic" w:cs="Arial"/>
          <w:bCs/>
          <w:lang w:val="es-ES" w:eastAsia="es-CO"/>
        </w:rPr>
        <w:t xml:space="preserve"> para el </w:t>
      </w:r>
      <w:r w:rsidRPr="00313300">
        <w:rPr>
          <w:rFonts w:ascii="Century Gothic" w:eastAsia="Times New Roman" w:hAnsi="Century Gothic" w:cs="Arial"/>
          <w:bCs/>
          <w:lang w:val="es-ES" w:eastAsia="es-CO"/>
        </w:rPr>
        <w:t xml:space="preserve">Proyecto en </w:t>
      </w:r>
      <w:r w:rsidR="00E8068A" w:rsidRPr="00313300">
        <w:rPr>
          <w:rFonts w:ascii="Century Gothic" w:eastAsia="Times New Roman" w:hAnsi="Century Gothic" w:cs="Arial"/>
          <w:bCs/>
          <w:lang w:val="es-ES" w:eastAsia="es-CO"/>
        </w:rPr>
        <w:t>mención</w:t>
      </w:r>
      <w:r w:rsidR="00E80FF5" w:rsidRPr="00313300">
        <w:rPr>
          <w:rFonts w:ascii="Century Gothic" w:eastAsia="Times New Roman" w:hAnsi="Century Gothic" w:cs="Arial"/>
          <w:bCs/>
          <w:lang w:val="es-ES" w:eastAsia="es-CO"/>
        </w:rPr>
        <w:t xml:space="preserve"> a los HH.RR. </w:t>
      </w:r>
      <w:r w:rsidR="00313300">
        <w:rPr>
          <w:rFonts w:ascii="Century Gothic" w:eastAsia="Times New Roman" w:hAnsi="Century Gothic" w:cs="Arial"/>
          <w:bCs/>
          <w:lang w:val="es-ES" w:eastAsia="es-CO"/>
        </w:rPr>
        <w:t xml:space="preserve">Gabriel Jaime Vallejo </w:t>
      </w:r>
      <w:proofErr w:type="spellStart"/>
      <w:r w:rsidR="00313300">
        <w:rPr>
          <w:rFonts w:ascii="Century Gothic" w:eastAsia="Times New Roman" w:hAnsi="Century Gothic" w:cs="Arial"/>
          <w:bCs/>
          <w:lang w:val="es-ES" w:eastAsia="es-CO"/>
        </w:rPr>
        <w:t>Chujfi</w:t>
      </w:r>
      <w:proofErr w:type="spellEnd"/>
      <w:r w:rsidR="00313300">
        <w:rPr>
          <w:rFonts w:ascii="Century Gothic" w:eastAsia="Times New Roman" w:hAnsi="Century Gothic" w:cs="Arial"/>
          <w:bCs/>
          <w:lang w:val="es-ES" w:eastAsia="es-CO"/>
        </w:rPr>
        <w:t xml:space="preserve"> –C, Erwin Arias Betancur –C, Alfredo Rafael </w:t>
      </w:r>
      <w:proofErr w:type="spellStart"/>
      <w:r w:rsidR="00313300">
        <w:rPr>
          <w:rFonts w:ascii="Century Gothic" w:eastAsia="Times New Roman" w:hAnsi="Century Gothic" w:cs="Arial"/>
          <w:bCs/>
          <w:lang w:val="es-ES" w:eastAsia="es-CO"/>
        </w:rPr>
        <w:t>Deluque</w:t>
      </w:r>
      <w:proofErr w:type="spellEnd"/>
      <w:r w:rsidR="00313300">
        <w:rPr>
          <w:rFonts w:ascii="Century Gothic" w:eastAsia="Times New Roman" w:hAnsi="Century Gothic" w:cs="Arial"/>
          <w:bCs/>
          <w:lang w:val="es-ES" w:eastAsia="es-CO"/>
        </w:rPr>
        <w:t xml:space="preserve"> Zuleta, </w:t>
      </w:r>
      <w:proofErr w:type="spellStart"/>
      <w:r w:rsidR="00313300">
        <w:rPr>
          <w:rFonts w:ascii="Century Gothic" w:eastAsia="Times New Roman" w:hAnsi="Century Gothic" w:cs="Arial"/>
          <w:bCs/>
          <w:lang w:val="es-ES" w:eastAsia="es-CO"/>
        </w:rPr>
        <w:t>Nilton</w:t>
      </w:r>
      <w:proofErr w:type="spellEnd"/>
      <w:r w:rsidR="00313300">
        <w:rPr>
          <w:rFonts w:ascii="Century Gothic" w:eastAsia="Times New Roman" w:hAnsi="Century Gothic" w:cs="Arial"/>
          <w:bCs/>
          <w:lang w:val="es-ES" w:eastAsia="es-CO"/>
        </w:rPr>
        <w:t xml:space="preserve"> Córdoba </w:t>
      </w:r>
      <w:proofErr w:type="spellStart"/>
      <w:r w:rsidR="00313300">
        <w:rPr>
          <w:rFonts w:ascii="Century Gothic" w:eastAsia="Times New Roman" w:hAnsi="Century Gothic" w:cs="Arial"/>
          <w:bCs/>
          <w:lang w:val="es-ES" w:eastAsia="es-CO"/>
        </w:rPr>
        <w:t>Manyoma</w:t>
      </w:r>
      <w:proofErr w:type="spellEnd"/>
      <w:r w:rsidR="00313300">
        <w:rPr>
          <w:rFonts w:ascii="Century Gothic" w:eastAsia="Times New Roman" w:hAnsi="Century Gothic" w:cs="Arial"/>
          <w:bCs/>
          <w:lang w:val="es-ES" w:eastAsia="es-CO"/>
        </w:rPr>
        <w:t xml:space="preserve">, Adriana Magali </w:t>
      </w:r>
      <w:proofErr w:type="spellStart"/>
      <w:r w:rsidR="00313300">
        <w:rPr>
          <w:rFonts w:ascii="Century Gothic" w:eastAsia="Times New Roman" w:hAnsi="Century Gothic" w:cs="Arial"/>
          <w:bCs/>
          <w:lang w:val="es-ES" w:eastAsia="es-CO"/>
        </w:rPr>
        <w:t>Matíz</w:t>
      </w:r>
      <w:proofErr w:type="spellEnd"/>
      <w:r w:rsidR="00313300">
        <w:rPr>
          <w:rFonts w:ascii="Century Gothic" w:eastAsia="Times New Roman" w:hAnsi="Century Gothic" w:cs="Arial"/>
          <w:bCs/>
          <w:lang w:val="es-ES" w:eastAsia="es-CO"/>
        </w:rPr>
        <w:t xml:space="preserve"> Vargas, Juanita María </w:t>
      </w:r>
      <w:proofErr w:type="spellStart"/>
      <w:r w:rsidR="00313300">
        <w:rPr>
          <w:rFonts w:ascii="Century Gothic" w:eastAsia="Times New Roman" w:hAnsi="Century Gothic" w:cs="Arial"/>
          <w:bCs/>
          <w:lang w:val="es-ES" w:eastAsia="es-CO"/>
        </w:rPr>
        <w:t>Goebertus</w:t>
      </w:r>
      <w:proofErr w:type="spellEnd"/>
      <w:r w:rsidR="00313300">
        <w:rPr>
          <w:rFonts w:ascii="Century Gothic" w:eastAsia="Times New Roman" w:hAnsi="Century Gothic" w:cs="Arial"/>
          <w:bCs/>
          <w:lang w:val="es-ES" w:eastAsia="es-CO"/>
        </w:rPr>
        <w:t xml:space="preserve"> Estrada, Luis Alberto Albán Urbano, Carlos Germán Navas T</w:t>
      </w:r>
      <w:r w:rsidR="00313300" w:rsidRPr="00313300">
        <w:rPr>
          <w:rFonts w:ascii="Century Gothic" w:eastAsia="Times New Roman" w:hAnsi="Century Gothic" w:cs="Arial"/>
          <w:bCs/>
          <w:lang w:val="es-ES" w:eastAsia="es-CO"/>
        </w:rPr>
        <w:t>alero</w:t>
      </w:r>
      <w:r w:rsidR="00313300">
        <w:rPr>
          <w:rFonts w:ascii="Century Gothic" w:eastAsia="Times New Roman" w:hAnsi="Century Gothic" w:cs="Arial"/>
          <w:bCs/>
          <w:lang w:val="es-ES" w:eastAsia="es-CO"/>
        </w:rPr>
        <w:t xml:space="preserve"> y Á</w:t>
      </w:r>
      <w:r w:rsidR="00313300" w:rsidRPr="00313300">
        <w:rPr>
          <w:rFonts w:ascii="Century Gothic" w:eastAsia="Times New Roman" w:hAnsi="Century Gothic" w:cs="Arial"/>
          <w:bCs/>
          <w:lang w:val="es-ES" w:eastAsia="es-CO"/>
        </w:rPr>
        <w:t>ngela María</w:t>
      </w:r>
      <w:r w:rsidR="00313300">
        <w:rPr>
          <w:rFonts w:ascii="Century Gothic" w:eastAsia="Times New Roman" w:hAnsi="Century Gothic" w:cs="Arial"/>
          <w:bCs/>
          <w:lang w:val="es-ES" w:eastAsia="es-CO"/>
        </w:rPr>
        <w:t xml:space="preserve"> Robledo Gó</w:t>
      </w:r>
      <w:r w:rsidR="00313300" w:rsidRPr="00313300">
        <w:rPr>
          <w:rFonts w:ascii="Century Gothic" w:eastAsia="Times New Roman" w:hAnsi="Century Gothic" w:cs="Arial"/>
          <w:bCs/>
          <w:lang w:val="es-ES" w:eastAsia="es-CO"/>
        </w:rPr>
        <w:t>mez</w:t>
      </w:r>
      <w:r w:rsidR="00313300">
        <w:rPr>
          <w:rFonts w:ascii="Century Gothic" w:eastAsia="Times New Roman" w:hAnsi="Century Gothic" w:cs="Arial"/>
          <w:bCs/>
          <w:lang w:val="es-ES" w:eastAsia="es-CO"/>
        </w:rPr>
        <w:t>.</w:t>
      </w:r>
    </w:p>
    <w:p w14:paraId="41019A11" w14:textId="513393B2" w:rsidR="00201AD2" w:rsidRDefault="00201AD2" w:rsidP="00201AD2">
      <w:pPr>
        <w:jc w:val="both"/>
        <w:rPr>
          <w:rFonts w:ascii="Century Gothic" w:hAnsi="Century Gothic" w:cs="Arial"/>
          <w:color w:val="000000" w:themeColor="text1"/>
        </w:rPr>
      </w:pPr>
    </w:p>
    <w:p w14:paraId="5B2850BF" w14:textId="77777777" w:rsidR="00FC6658" w:rsidRPr="008B5447" w:rsidRDefault="00FC6658" w:rsidP="00201AD2">
      <w:pPr>
        <w:jc w:val="both"/>
        <w:rPr>
          <w:rFonts w:ascii="Century Gothic" w:hAnsi="Century Gothic" w:cs="Arial"/>
          <w:color w:val="000000" w:themeColor="text1"/>
        </w:rPr>
      </w:pPr>
    </w:p>
    <w:p w14:paraId="75804D39" w14:textId="77777777" w:rsidR="00FD0784" w:rsidRPr="008B5447" w:rsidRDefault="00FD0784" w:rsidP="00201AD2">
      <w:pPr>
        <w:jc w:val="both"/>
        <w:rPr>
          <w:rFonts w:ascii="Century Gothic" w:hAnsi="Century Gothic" w:cs="Arial"/>
          <w:color w:val="000000" w:themeColor="text1"/>
        </w:rPr>
      </w:pPr>
    </w:p>
    <w:p w14:paraId="561F75BF" w14:textId="36C71B66" w:rsidR="00D66E0B" w:rsidRDefault="00C55615" w:rsidP="00BE754E">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00FD0784" w:rsidRPr="00BE754E">
        <w:rPr>
          <w:rFonts w:ascii="Century Gothic" w:hAnsi="Century Gothic" w:cs="Arial"/>
          <w:color w:val="000000" w:themeColor="text1"/>
        </w:rPr>
        <w:t xml:space="preserve"> </w:t>
      </w:r>
    </w:p>
    <w:p w14:paraId="798A24B9" w14:textId="77777777" w:rsidR="00E8068A" w:rsidRPr="00BE754E" w:rsidRDefault="00E8068A" w:rsidP="00E8068A">
      <w:pPr>
        <w:pStyle w:val="Prrafodelista"/>
        <w:ind w:left="1080"/>
        <w:jc w:val="both"/>
        <w:rPr>
          <w:rFonts w:ascii="Century Gothic" w:hAnsi="Century Gothic" w:cs="Arial"/>
          <w:color w:val="000000" w:themeColor="text1"/>
        </w:rPr>
      </w:pPr>
    </w:p>
    <w:p w14:paraId="21CCB22E" w14:textId="5F514E52" w:rsidR="00604455" w:rsidRPr="00604455" w:rsidRDefault="00604455" w:rsidP="00604455">
      <w:pPr>
        <w:spacing w:line="276" w:lineRule="auto"/>
        <w:jc w:val="both"/>
        <w:rPr>
          <w:rFonts w:ascii="Century Gothic" w:eastAsia="Times New Roman" w:hAnsi="Century Gothic" w:cs="Arial"/>
          <w:bCs/>
          <w:lang w:val="es-ES" w:eastAsia="es-CO"/>
        </w:rPr>
      </w:pPr>
      <w:r w:rsidRPr="00604455">
        <w:rPr>
          <w:rFonts w:ascii="Century Gothic" w:eastAsia="Times New Roman" w:hAnsi="Century Gothic" w:cs="Arial"/>
          <w:bCs/>
          <w:lang w:val="es-ES" w:eastAsia="es-CO"/>
        </w:rPr>
        <w:t xml:space="preserve">La presente iniciativa tiene por objeto establecer un término perentorio para que los fiscales formulen imputación o decidan motivadamente sobre el archivo de la indagación, so pena de ser relevados y verse inmersos en las sanciones que correspondan. Esto, con el fin principal de darle impulso a las pesquisas y al ejercicio de la acción penal tratándose de delitos tan deleznables como el homicidio o los delitos sexuales cometidos contra los niños, niñas y adolescentes. Asimismo, persigue crear una unidad especial de investigación de delitos de alto impacto realizados contra la infancia y la adolescencia, a efectos de focalizar y robustecer los esfuerzos en las labores de </w:t>
      </w:r>
      <w:r>
        <w:rPr>
          <w:rFonts w:ascii="Century Gothic" w:eastAsia="Times New Roman" w:hAnsi="Century Gothic" w:cs="Arial"/>
          <w:bCs/>
          <w:lang w:val="es-ES" w:eastAsia="es-CO"/>
        </w:rPr>
        <w:t xml:space="preserve">protección, </w:t>
      </w:r>
      <w:r w:rsidRPr="00604455">
        <w:rPr>
          <w:rFonts w:ascii="Century Gothic" w:eastAsia="Times New Roman" w:hAnsi="Century Gothic" w:cs="Arial"/>
          <w:bCs/>
          <w:lang w:val="es-ES" w:eastAsia="es-CO"/>
        </w:rPr>
        <w:t>indagación e investigación y, por lo mismo, aumentar los niveles de efectividad en el sistema penal.</w:t>
      </w:r>
    </w:p>
    <w:p w14:paraId="34AE97D6" w14:textId="77777777" w:rsidR="00FC6658" w:rsidRDefault="00FC6658" w:rsidP="00E90B0A">
      <w:pPr>
        <w:jc w:val="both"/>
        <w:rPr>
          <w:rFonts w:ascii="Century Gothic" w:hAnsi="Century Gothic" w:cs="Arial"/>
          <w:color w:val="000000" w:themeColor="text1"/>
        </w:rPr>
      </w:pPr>
    </w:p>
    <w:p w14:paraId="6E6BF6C2" w14:textId="77777777" w:rsidR="00E90B0A" w:rsidRPr="00FC6658" w:rsidRDefault="00E90B0A" w:rsidP="00E90B0A">
      <w:pPr>
        <w:jc w:val="both"/>
        <w:rPr>
          <w:rFonts w:ascii="Century Gothic" w:hAnsi="Century Gothic" w:cs="Arial"/>
          <w:b/>
          <w:color w:val="000000" w:themeColor="text1"/>
        </w:rPr>
      </w:pPr>
    </w:p>
    <w:p w14:paraId="256FE3B9" w14:textId="3077AF76" w:rsidR="00E90B0A" w:rsidRDefault="00B7338E" w:rsidP="00FC6658">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00FC6658" w:rsidRPr="00FC6658">
        <w:rPr>
          <w:rFonts w:ascii="Century Gothic" w:hAnsi="Century Gothic" w:cs="Arial"/>
          <w:b/>
          <w:color w:val="000000" w:themeColor="text1"/>
        </w:rPr>
        <w:t xml:space="preserve">. </w:t>
      </w:r>
    </w:p>
    <w:p w14:paraId="2903CE86" w14:textId="77777777" w:rsidR="00FC6658" w:rsidRPr="00FC6658" w:rsidRDefault="00FC6658" w:rsidP="00FC6658">
      <w:pPr>
        <w:pStyle w:val="Prrafodelista"/>
        <w:ind w:left="1080"/>
        <w:jc w:val="both"/>
        <w:rPr>
          <w:rFonts w:ascii="Century Gothic" w:hAnsi="Century Gothic" w:cs="Arial"/>
          <w:b/>
          <w:color w:val="000000" w:themeColor="text1"/>
        </w:rPr>
      </w:pPr>
    </w:p>
    <w:p w14:paraId="3DA4CD17"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Un grave problema social que está golpeando cada vez más a los menores de edad en el mundo es el que tiene que ver con la comisión de delitos sexuales perpetrados contra estos, donde las más afectadas son las mujeres:</w:t>
      </w:r>
    </w:p>
    <w:p w14:paraId="765CD23B"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61FA0A55"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Según un estudio realizado por UNICEF en el 2017, en el mundo aproximadamente 15 millones de mujeres entre los 15 y los 19 años han sido abusadas sexualmente. De ellas, 9 millones fueron víctimas en el 2016. Según el mismo estudio, nueve de cada 10 mujeres reportan haber sido abusadas por primera vez durante su adolescencia, siendo el abusador alguien conocido para la víctima. De acuerdo con la red de líneas de denuncia INHOPE, el 90% de las víctimas utilizadas en material de abuso sexual son niñas y el 79% de los casos, involucran a niñas y niños entre los 3 y los 13 años</w:t>
      </w:r>
      <w:r w:rsidRPr="00D50B6F">
        <w:rPr>
          <w:rFonts w:ascii="Century Gothic" w:hAnsi="Century Gothic" w:cs="Arial"/>
          <w:color w:val="000000" w:themeColor="text1"/>
          <w:sz w:val="22"/>
          <w:szCs w:val="22"/>
          <w:vertAlign w:val="superscript"/>
        </w:rPr>
        <w:footnoteReference w:id="1"/>
      </w:r>
      <w:r w:rsidRPr="00D50B6F">
        <w:rPr>
          <w:rFonts w:ascii="Century Gothic" w:hAnsi="Century Gothic" w:cs="Arial"/>
          <w:color w:val="000000" w:themeColor="text1"/>
          <w:sz w:val="22"/>
          <w:szCs w:val="22"/>
          <w:vertAlign w:val="superscript"/>
        </w:rPr>
        <w:t>.</w:t>
      </w:r>
      <w:r w:rsidRPr="00D50B6F">
        <w:rPr>
          <w:rFonts w:ascii="Century Gothic" w:hAnsi="Century Gothic" w:cs="Arial"/>
          <w:color w:val="000000" w:themeColor="text1"/>
          <w:sz w:val="22"/>
          <w:szCs w:val="22"/>
        </w:rPr>
        <w:t xml:space="preserve"> </w:t>
      </w:r>
    </w:p>
    <w:p w14:paraId="506B441B"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3E20A8DC"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En Colombia, la vulneración de derechos a los niños, niñas y adolescentes no es la excepción, al contrario, va en preocupante ascenso:</w:t>
      </w:r>
    </w:p>
    <w:p w14:paraId="05FACCBA"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018CB605"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 xml:space="preserve">De acuerdo con los datos publicados en la última versión de la Revista </w:t>
      </w:r>
      <w:r w:rsidRPr="00D50B6F">
        <w:rPr>
          <w:rFonts w:ascii="Century Gothic" w:hAnsi="Century Gothic" w:cs="Arial"/>
          <w:i/>
          <w:color w:val="000000" w:themeColor="text1"/>
          <w:sz w:val="22"/>
          <w:szCs w:val="22"/>
        </w:rPr>
        <w:t>Forensis</w:t>
      </w:r>
      <w:r w:rsidRPr="00D50B6F">
        <w:rPr>
          <w:rFonts w:ascii="Century Gothic" w:hAnsi="Century Gothic" w:cs="Arial"/>
          <w:color w:val="000000" w:themeColor="text1"/>
          <w:sz w:val="22"/>
          <w:szCs w:val="22"/>
        </w:rPr>
        <w:t>, en lo corrido del año 2018 el Instituto Nacional de Medicina Legal y Ciencias Forenses practicó 26.065 valoraciones por presunto delito sexual de las cuales 22.794 corresponden a niños, niñas y adolescentes, equivalente al 87,72 % de todas las valoraciones por delito sexual practicadas durante este periodo</w:t>
      </w:r>
      <w:r w:rsidRPr="00D50B6F">
        <w:rPr>
          <w:rFonts w:ascii="Century Gothic" w:hAnsi="Century Gothic" w:cs="Arial"/>
          <w:color w:val="000000" w:themeColor="text1"/>
          <w:sz w:val="22"/>
          <w:szCs w:val="22"/>
          <w:vertAlign w:val="superscript"/>
        </w:rPr>
        <w:footnoteReference w:id="2"/>
      </w:r>
      <w:r w:rsidRPr="00D50B6F">
        <w:rPr>
          <w:rFonts w:ascii="Century Gothic" w:hAnsi="Century Gothic" w:cs="Arial"/>
          <w:color w:val="000000" w:themeColor="text1"/>
          <w:sz w:val="22"/>
          <w:szCs w:val="22"/>
          <w:vertAlign w:val="superscript"/>
        </w:rPr>
        <w:t>.</w:t>
      </w:r>
    </w:p>
    <w:p w14:paraId="0E2F8502"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500E5121" w14:textId="77777777" w:rsid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Igualmente, según el Instituto Nacional de Medicina Legal y Ciencias Forenses, entre enero y mayo de 2020 se han practicado </w:t>
      </w:r>
      <w:r w:rsidRPr="00D50B6F">
        <w:rPr>
          <w:rFonts w:ascii="Century Gothic" w:hAnsi="Century Gothic" w:cs="Arial"/>
          <w:b/>
          <w:bCs/>
          <w:color w:val="000000" w:themeColor="text1"/>
          <w:sz w:val="22"/>
          <w:szCs w:val="22"/>
        </w:rPr>
        <w:t>7.544 exámenes médicos legales por presunto delito sexual </w:t>
      </w:r>
      <w:r w:rsidRPr="00D50B6F">
        <w:rPr>
          <w:rFonts w:ascii="Century Gothic" w:hAnsi="Century Gothic" w:cs="Arial"/>
          <w:color w:val="000000" w:themeColor="text1"/>
          <w:sz w:val="22"/>
          <w:szCs w:val="22"/>
        </w:rPr>
        <w:t>que representan el 43,49 por ciento de las lesiones no fatales en el país. De estos,</w:t>
      </w:r>
      <w:r w:rsidRPr="00D50B6F">
        <w:rPr>
          <w:rFonts w:ascii="Century Gothic" w:hAnsi="Century Gothic" w:cs="Arial"/>
          <w:b/>
          <w:bCs/>
          <w:color w:val="000000" w:themeColor="text1"/>
          <w:sz w:val="22"/>
          <w:szCs w:val="22"/>
        </w:rPr>
        <w:t> 6.479 fueron realizados a menores de edad</w:t>
      </w:r>
      <w:r w:rsidRPr="00D50B6F">
        <w:rPr>
          <w:rFonts w:ascii="Century Gothic" w:hAnsi="Century Gothic" w:cs="Arial"/>
          <w:color w:val="000000" w:themeColor="text1"/>
          <w:sz w:val="22"/>
          <w:szCs w:val="22"/>
        </w:rPr>
        <w:t xml:space="preserve"> que se desagregan como se sigue: </w:t>
      </w:r>
    </w:p>
    <w:p w14:paraId="7D1DFE48"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504B3531" w14:textId="77777777" w:rsidR="00D50B6F" w:rsidRPr="00D50B6F" w:rsidRDefault="00D50B6F" w:rsidP="00D50B6F">
      <w:pPr>
        <w:spacing w:line="276" w:lineRule="auto"/>
        <w:rPr>
          <w:rFonts w:ascii="Century Gothic" w:hAnsi="Century Gothic" w:cs="Arial"/>
          <w:color w:val="000000" w:themeColor="text1"/>
          <w:sz w:val="22"/>
          <w:szCs w:val="22"/>
        </w:rPr>
      </w:pPr>
    </w:p>
    <w:tbl>
      <w:tblPr>
        <w:tblStyle w:val="Tablaconcuadrcula"/>
        <w:tblW w:w="0" w:type="auto"/>
        <w:tblLook w:val="04A0" w:firstRow="1" w:lastRow="0" w:firstColumn="1" w:lastColumn="0" w:noHBand="0" w:noVBand="1"/>
      </w:tblPr>
      <w:tblGrid>
        <w:gridCol w:w="4394"/>
        <w:gridCol w:w="4434"/>
      </w:tblGrid>
      <w:tr w:rsidR="00D50B6F" w:rsidRPr="00D50B6F" w14:paraId="49F4FAED" w14:textId="77777777" w:rsidTr="003940B4">
        <w:trPr>
          <w:trHeight w:val="297"/>
        </w:trPr>
        <w:tc>
          <w:tcPr>
            <w:tcW w:w="4675" w:type="dxa"/>
          </w:tcPr>
          <w:p w14:paraId="704484FF" w14:textId="77777777" w:rsidR="00D50B6F" w:rsidRPr="00D50B6F" w:rsidRDefault="00D50B6F" w:rsidP="003940B4">
            <w:pPr>
              <w:spacing w:line="276" w:lineRule="auto"/>
              <w:rPr>
                <w:rFonts w:ascii="Century Gothic" w:hAnsi="Century Gothic" w:cs="Arial"/>
                <w:b/>
                <w:color w:val="000000" w:themeColor="text1"/>
                <w:sz w:val="22"/>
                <w:szCs w:val="22"/>
              </w:rPr>
            </w:pPr>
            <w:r w:rsidRPr="00D50B6F">
              <w:rPr>
                <w:rFonts w:ascii="Century Gothic" w:hAnsi="Century Gothic" w:cs="Arial"/>
                <w:b/>
                <w:color w:val="000000" w:themeColor="text1"/>
                <w:sz w:val="22"/>
                <w:szCs w:val="22"/>
              </w:rPr>
              <w:lastRenderedPageBreak/>
              <w:t>Edad</w:t>
            </w:r>
          </w:p>
        </w:tc>
        <w:tc>
          <w:tcPr>
            <w:tcW w:w="4675" w:type="dxa"/>
          </w:tcPr>
          <w:p w14:paraId="0FAF0F92" w14:textId="77777777" w:rsidR="00D50B6F" w:rsidRPr="00D50B6F" w:rsidRDefault="00D50B6F" w:rsidP="003940B4">
            <w:pPr>
              <w:spacing w:line="276" w:lineRule="auto"/>
              <w:rPr>
                <w:rFonts w:ascii="Century Gothic" w:hAnsi="Century Gothic" w:cs="Arial"/>
                <w:b/>
                <w:color w:val="000000" w:themeColor="text1"/>
                <w:sz w:val="22"/>
                <w:szCs w:val="22"/>
              </w:rPr>
            </w:pPr>
            <w:r w:rsidRPr="00D50B6F">
              <w:rPr>
                <w:rFonts w:ascii="Century Gothic" w:hAnsi="Century Gothic" w:cs="Arial"/>
                <w:b/>
                <w:color w:val="000000" w:themeColor="text1"/>
                <w:sz w:val="22"/>
                <w:szCs w:val="22"/>
              </w:rPr>
              <w:t>Exámenes</w:t>
            </w:r>
          </w:p>
        </w:tc>
      </w:tr>
      <w:tr w:rsidR="00D50B6F" w:rsidRPr="00D50B6F" w14:paraId="6D8CDF1C" w14:textId="77777777" w:rsidTr="003940B4">
        <w:tc>
          <w:tcPr>
            <w:tcW w:w="4675" w:type="dxa"/>
          </w:tcPr>
          <w:p w14:paraId="564B3A5A"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0-4 años</w:t>
            </w:r>
          </w:p>
        </w:tc>
        <w:tc>
          <w:tcPr>
            <w:tcW w:w="4675" w:type="dxa"/>
          </w:tcPr>
          <w:p w14:paraId="1F0A69E3"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744</w:t>
            </w:r>
          </w:p>
        </w:tc>
      </w:tr>
      <w:tr w:rsidR="00D50B6F" w:rsidRPr="00D50B6F" w14:paraId="4CD4CA0F" w14:textId="77777777" w:rsidTr="003940B4">
        <w:tc>
          <w:tcPr>
            <w:tcW w:w="4675" w:type="dxa"/>
          </w:tcPr>
          <w:p w14:paraId="50583779"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5-9 años</w:t>
            </w:r>
          </w:p>
        </w:tc>
        <w:tc>
          <w:tcPr>
            <w:tcW w:w="4675" w:type="dxa"/>
          </w:tcPr>
          <w:p w14:paraId="6354F200"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1.749</w:t>
            </w:r>
          </w:p>
        </w:tc>
      </w:tr>
      <w:tr w:rsidR="00D50B6F" w:rsidRPr="00D50B6F" w14:paraId="1F4807A2" w14:textId="77777777" w:rsidTr="003940B4">
        <w:tc>
          <w:tcPr>
            <w:tcW w:w="4675" w:type="dxa"/>
          </w:tcPr>
          <w:p w14:paraId="1A58760C"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10-14 años</w:t>
            </w:r>
          </w:p>
        </w:tc>
        <w:tc>
          <w:tcPr>
            <w:tcW w:w="4675" w:type="dxa"/>
          </w:tcPr>
          <w:p w14:paraId="4EB5609B"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3.001</w:t>
            </w:r>
          </w:p>
        </w:tc>
      </w:tr>
      <w:tr w:rsidR="00D50B6F" w:rsidRPr="00D50B6F" w14:paraId="06262511" w14:textId="77777777" w:rsidTr="003940B4">
        <w:tc>
          <w:tcPr>
            <w:tcW w:w="4675" w:type="dxa"/>
          </w:tcPr>
          <w:p w14:paraId="295985DA"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15-17 años</w:t>
            </w:r>
          </w:p>
        </w:tc>
        <w:tc>
          <w:tcPr>
            <w:tcW w:w="4675" w:type="dxa"/>
          </w:tcPr>
          <w:p w14:paraId="6A70D848" w14:textId="77777777" w:rsidR="00D50B6F" w:rsidRPr="00D50B6F" w:rsidRDefault="00D50B6F" w:rsidP="003940B4">
            <w:pPr>
              <w:spacing w:line="276" w:lineRule="auto"/>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985</w:t>
            </w:r>
          </w:p>
        </w:tc>
      </w:tr>
      <w:tr w:rsidR="00D50B6F" w:rsidRPr="00D50B6F" w14:paraId="5109E81E" w14:textId="77777777" w:rsidTr="003940B4">
        <w:tc>
          <w:tcPr>
            <w:tcW w:w="4675" w:type="dxa"/>
          </w:tcPr>
          <w:p w14:paraId="0068A7AA" w14:textId="77777777" w:rsidR="00D50B6F" w:rsidRPr="00D50B6F" w:rsidRDefault="00D50B6F" w:rsidP="003940B4">
            <w:pPr>
              <w:spacing w:line="276" w:lineRule="auto"/>
              <w:rPr>
                <w:rFonts w:ascii="Century Gothic" w:hAnsi="Century Gothic" w:cs="Arial"/>
                <w:b/>
                <w:color w:val="000000" w:themeColor="text1"/>
                <w:sz w:val="22"/>
                <w:szCs w:val="22"/>
              </w:rPr>
            </w:pPr>
            <w:r w:rsidRPr="00D50B6F">
              <w:rPr>
                <w:rFonts w:ascii="Century Gothic" w:hAnsi="Century Gothic" w:cs="Arial"/>
                <w:b/>
                <w:color w:val="000000" w:themeColor="text1"/>
                <w:sz w:val="22"/>
                <w:szCs w:val="22"/>
              </w:rPr>
              <w:t>Total</w:t>
            </w:r>
          </w:p>
        </w:tc>
        <w:tc>
          <w:tcPr>
            <w:tcW w:w="4675" w:type="dxa"/>
          </w:tcPr>
          <w:p w14:paraId="49F4D7DC" w14:textId="77777777" w:rsidR="00D50B6F" w:rsidRPr="00D50B6F" w:rsidRDefault="00D50B6F" w:rsidP="003940B4">
            <w:pPr>
              <w:spacing w:line="276" w:lineRule="auto"/>
              <w:rPr>
                <w:rFonts w:ascii="Century Gothic" w:hAnsi="Century Gothic" w:cs="Arial"/>
                <w:b/>
                <w:color w:val="000000" w:themeColor="text1"/>
                <w:sz w:val="22"/>
                <w:szCs w:val="22"/>
              </w:rPr>
            </w:pPr>
            <w:r w:rsidRPr="00D50B6F">
              <w:rPr>
                <w:rFonts w:ascii="Century Gothic" w:hAnsi="Century Gothic" w:cs="Arial"/>
                <w:b/>
                <w:color w:val="000000" w:themeColor="text1"/>
                <w:sz w:val="22"/>
                <w:szCs w:val="22"/>
              </w:rPr>
              <w:t>6.479</w:t>
            </w:r>
          </w:p>
        </w:tc>
      </w:tr>
    </w:tbl>
    <w:p w14:paraId="041A9CEC" w14:textId="77777777" w:rsidR="00D50B6F" w:rsidRPr="00D50B6F" w:rsidRDefault="00D50B6F" w:rsidP="00D50B6F">
      <w:pPr>
        <w:spacing w:line="276" w:lineRule="auto"/>
        <w:jc w:val="right"/>
        <w:rPr>
          <w:rFonts w:ascii="Century Gothic" w:hAnsi="Century Gothic" w:cs="Arial"/>
          <w:color w:val="000000" w:themeColor="text1"/>
          <w:sz w:val="16"/>
          <w:szCs w:val="16"/>
        </w:rPr>
      </w:pPr>
      <w:r w:rsidRPr="00D50B6F">
        <w:rPr>
          <w:rFonts w:ascii="Century Gothic" w:hAnsi="Century Gothic" w:cs="Arial"/>
          <w:color w:val="000000" w:themeColor="text1"/>
          <w:sz w:val="16"/>
          <w:szCs w:val="16"/>
        </w:rPr>
        <w:t xml:space="preserve">Fuente: Revista Semana, 2020. </w:t>
      </w:r>
    </w:p>
    <w:p w14:paraId="0C02AAEE" w14:textId="77777777" w:rsidR="00D50B6F" w:rsidRPr="00D50B6F" w:rsidRDefault="00D50B6F" w:rsidP="00D50B6F">
      <w:pPr>
        <w:spacing w:line="276" w:lineRule="auto"/>
        <w:rPr>
          <w:rFonts w:ascii="Century Gothic" w:hAnsi="Century Gothic" w:cs="Arial"/>
          <w:b/>
          <w:color w:val="000000" w:themeColor="text1"/>
          <w:sz w:val="22"/>
          <w:szCs w:val="22"/>
        </w:rPr>
      </w:pPr>
    </w:p>
    <w:p w14:paraId="5D6431D8"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Actualmente, como se dijo en precedencia, las mujeres siguen siendo las víctimas más recurrentes del </w:t>
      </w:r>
      <w:hyperlink r:id="rId8" w:tgtFrame="_blank" w:history="1">
        <w:r w:rsidRPr="00D50B6F">
          <w:rPr>
            <w:rFonts w:ascii="Century Gothic" w:hAnsi="Century Gothic" w:cs="Arial"/>
            <w:color w:val="000000" w:themeColor="text1"/>
            <w:sz w:val="22"/>
            <w:szCs w:val="22"/>
          </w:rPr>
          <w:t>abuso sexual </w:t>
        </w:r>
      </w:hyperlink>
      <w:r w:rsidRPr="00D50B6F">
        <w:rPr>
          <w:rFonts w:ascii="Century Gothic" w:hAnsi="Century Gothic" w:cs="Arial"/>
          <w:color w:val="000000" w:themeColor="text1"/>
          <w:sz w:val="22"/>
          <w:szCs w:val="22"/>
        </w:rPr>
        <w:t>sin distinguir edad. Sin embargo, este es un mal que aqueja a toda la sociedad. Al revisar más a fondo, la población indígena y negra de la nación suma un porcentaje importante en los registros, luego de los casos denunciados donde no hay distinción étnica: </w:t>
      </w:r>
      <w:r w:rsidRPr="00D50B6F">
        <w:rPr>
          <w:rFonts w:ascii="Century Gothic" w:hAnsi="Century Gothic" w:cs="Arial"/>
          <w:bCs/>
          <w:color w:val="000000" w:themeColor="text1"/>
          <w:sz w:val="22"/>
          <w:szCs w:val="22"/>
        </w:rPr>
        <w:t>151 indígenas (136 mujeres y 15 hombres), así como 183 negros (166 mujeres y 17 hombres)</w:t>
      </w:r>
      <w:r w:rsidRPr="00D50B6F">
        <w:rPr>
          <w:rStyle w:val="Refdenotaalpie"/>
          <w:rFonts w:ascii="Century Gothic" w:hAnsi="Century Gothic" w:cs="Arial"/>
          <w:bCs/>
          <w:color w:val="000000" w:themeColor="text1"/>
          <w:sz w:val="22"/>
          <w:szCs w:val="22"/>
        </w:rPr>
        <w:footnoteReference w:id="3"/>
      </w:r>
      <w:r w:rsidRPr="00D50B6F">
        <w:rPr>
          <w:rFonts w:ascii="Century Gothic" w:hAnsi="Century Gothic" w:cs="Arial"/>
          <w:bCs/>
          <w:color w:val="000000" w:themeColor="text1"/>
          <w:sz w:val="22"/>
          <w:szCs w:val="22"/>
        </w:rPr>
        <w:t xml:space="preserve">. Recuérdese el triste y repudiable caso de violación sexual contra la niña embera, el cual ha conmocionado recientemente a todo el país. </w:t>
      </w:r>
    </w:p>
    <w:p w14:paraId="67D90CF3"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0CD2AC2F" w14:textId="77777777" w:rsid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Este indeseable fenómeno trae consecuencias que resultan nefastas para la salud física y emocional del niño, niña o adolescente. Como lo narra Echeburúa</w:t>
      </w:r>
      <w:r w:rsidRPr="00D50B6F">
        <w:rPr>
          <w:rFonts w:ascii="Century Gothic" w:hAnsi="Century Gothic" w:cs="Arial"/>
          <w:sz w:val="22"/>
          <w:szCs w:val="22"/>
          <w:vertAlign w:val="superscript"/>
        </w:rPr>
        <w:footnoteReference w:id="4"/>
      </w:r>
      <w:r w:rsidRPr="00D50B6F">
        <w:rPr>
          <w:rFonts w:ascii="Century Gothic" w:hAnsi="Century Gothic" w:cs="Arial"/>
          <w:color w:val="000000" w:themeColor="text1"/>
          <w:sz w:val="22"/>
          <w:szCs w:val="22"/>
          <w:vertAlign w:val="superscript"/>
        </w:rPr>
        <w:t xml:space="preserve"> </w:t>
      </w:r>
      <w:r w:rsidRPr="00D50B6F">
        <w:rPr>
          <w:rFonts w:ascii="Century Gothic" w:hAnsi="Century Gothic" w:cs="Arial"/>
          <w:color w:val="000000" w:themeColor="text1"/>
          <w:sz w:val="22"/>
          <w:szCs w:val="22"/>
        </w:rPr>
        <w:t xml:space="preserve">“la violencia sexual genera daños en la autoestima del individuo, sentimientos de tristeza, culpa e indefensión y en la red familiar secuelas difíciles de superar (…) a parte de las consecuencias físicas, tiene efectos psicológicos a corto y largo plazo como depresión, ansiedad, intentos de suicidio o el síndrome de estrés postraumático”.  </w:t>
      </w:r>
    </w:p>
    <w:p w14:paraId="02B11A41"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09243BC1" w14:textId="77777777" w:rsidR="00D50B6F" w:rsidRDefault="00D50B6F" w:rsidP="00D50B6F">
      <w:pPr>
        <w:pStyle w:val="Ttulo3"/>
        <w:shd w:val="clear" w:color="auto" w:fill="FFFFFF"/>
        <w:spacing w:line="276" w:lineRule="auto"/>
        <w:jc w:val="both"/>
        <w:rPr>
          <w:rFonts w:ascii="Century Gothic" w:eastAsiaTheme="minorHAnsi" w:hAnsi="Century Gothic" w:cs="Arial"/>
          <w:color w:val="000000" w:themeColor="text1"/>
          <w:sz w:val="22"/>
          <w:szCs w:val="22"/>
        </w:rPr>
      </w:pPr>
      <w:r w:rsidRPr="00D50B6F">
        <w:rPr>
          <w:rFonts w:ascii="Century Gothic" w:eastAsiaTheme="minorHAnsi" w:hAnsi="Century Gothic" w:cs="Arial"/>
          <w:color w:val="000000" w:themeColor="text1"/>
          <w:sz w:val="22"/>
          <w:szCs w:val="22"/>
        </w:rPr>
        <w:t xml:space="preserve">En cuanto al despreciable delito de homicidio cometido contra la infancia y la adolescencia debe decirse lo siguiente: </w:t>
      </w:r>
    </w:p>
    <w:p w14:paraId="5F48DA19" w14:textId="77777777" w:rsidR="00D50B6F" w:rsidRPr="00D50B6F" w:rsidRDefault="00D50B6F" w:rsidP="00D50B6F"/>
    <w:p w14:paraId="4E1502D3" w14:textId="77777777" w:rsidR="00D50B6F" w:rsidRDefault="00D50B6F" w:rsidP="00D50B6F">
      <w:pPr>
        <w:spacing w:line="276" w:lineRule="auto"/>
        <w:jc w:val="both"/>
        <w:rPr>
          <w:rFonts w:ascii="Century Gothic" w:hAnsi="Century Gothic" w:cs="Arial"/>
          <w:color w:val="000000" w:themeColor="text1"/>
          <w:sz w:val="22"/>
          <w:szCs w:val="22"/>
          <w:vertAlign w:val="superscript"/>
        </w:rPr>
      </w:pPr>
      <w:r w:rsidRPr="00D50B6F">
        <w:rPr>
          <w:rFonts w:ascii="Century Gothic" w:hAnsi="Century Gothic" w:cs="Arial"/>
          <w:color w:val="000000" w:themeColor="text1"/>
          <w:sz w:val="22"/>
          <w:szCs w:val="22"/>
        </w:rPr>
        <w:t>Según cifras suministradas por Save the Children</w:t>
      </w:r>
      <w:r w:rsidRPr="00D50B6F">
        <w:rPr>
          <w:rFonts w:ascii="Century Gothic" w:hAnsi="Century Gothic" w:cs="Arial"/>
          <w:color w:val="000000" w:themeColor="text1"/>
          <w:sz w:val="22"/>
          <w:szCs w:val="22"/>
          <w:vertAlign w:val="superscript"/>
        </w:rPr>
        <w:footnoteReference w:id="5"/>
      </w:r>
      <w:r w:rsidRPr="00D50B6F">
        <w:rPr>
          <w:rFonts w:ascii="Century Gothic" w:hAnsi="Century Gothic" w:cs="Arial"/>
          <w:color w:val="000000" w:themeColor="text1"/>
          <w:sz w:val="22"/>
          <w:szCs w:val="22"/>
          <w:vertAlign w:val="superscript"/>
        </w:rPr>
        <w:t xml:space="preserve"> </w:t>
      </w:r>
      <w:r w:rsidRPr="00D50B6F">
        <w:rPr>
          <w:rFonts w:ascii="Century Gothic" w:hAnsi="Century Gothic" w:cs="Arial"/>
          <w:color w:val="000000" w:themeColor="text1"/>
          <w:sz w:val="22"/>
          <w:szCs w:val="22"/>
        </w:rPr>
        <w:t xml:space="preserve">70 niños y niñas mueren diariamente en América Latina y El Caribe a causa de la violencia. Las tasas de homicidio infantil más altas del mundo se encuentran en la región. Los niños, niñas </w:t>
      </w:r>
      <w:r w:rsidRPr="00D50B6F">
        <w:rPr>
          <w:rFonts w:ascii="Century Gothic" w:hAnsi="Century Gothic" w:cs="Arial"/>
          <w:color w:val="000000" w:themeColor="text1"/>
          <w:sz w:val="22"/>
          <w:szCs w:val="22"/>
        </w:rPr>
        <w:lastRenderedPageBreak/>
        <w:t>y adolescentes de América Latina y El Caribe tienen al menos el doble de probabilidades de ser asesinados que en cualquier otra región. Asimismo, ha expresado que durante el año 2018, en Colombia 673 niños y niñas fueron víctimas de homicidio y que entre enero y marzo de 2019 se reportaron175 casos de homicidio en los que las víctimas son menores de edad. En total, en 2019 la cifra de homicidios fue de 708. La mayoría de ellos tenía entre 15 y 17 años</w:t>
      </w:r>
      <w:r w:rsidRPr="00D50B6F">
        <w:rPr>
          <w:rFonts w:ascii="Century Gothic" w:hAnsi="Century Gothic" w:cs="Arial"/>
          <w:color w:val="000000" w:themeColor="text1"/>
          <w:sz w:val="22"/>
          <w:szCs w:val="22"/>
          <w:vertAlign w:val="superscript"/>
        </w:rPr>
        <w:footnoteReference w:id="6"/>
      </w:r>
      <w:r w:rsidRPr="00D50B6F">
        <w:rPr>
          <w:rFonts w:ascii="Century Gothic" w:hAnsi="Century Gothic" w:cs="Arial"/>
          <w:color w:val="000000" w:themeColor="text1"/>
          <w:sz w:val="22"/>
          <w:szCs w:val="22"/>
          <w:vertAlign w:val="superscript"/>
        </w:rPr>
        <w:t>.</w:t>
      </w:r>
    </w:p>
    <w:p w14:paraId="08E3CA8D"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171A3CD6" w14:textId="77777777" w:rsidR="00D50B6F" w:rsidRDefault="00D50B6F" w:rsidP="00D50B6F">
      <w:pPr>
        <w:pStyle w:val="Ttulo3"/>
        <w:shd w:val="clear" w:color="auto" w:fill="FFFFFF"/>
        <w:spacing w:line="276" w:lineRule="auto"/>
        <w:jc w:val="both"/>
        <w:rPr>
          <w:rFonts w:ascii="Century Gothic" w:eastAsiaTheme="minorHAnsi" w:hAnsi="Century Gothic" w:cs="Arial"/>
          <w:color w:val="000000" w:themeColor="text1"/>
          <w:sz w:val="22"/>
          <w:szCs w:val="22"/>
        </w:rPr>
      </w:pPr>
      <w:r w:rsidRPr="00D50B6F">
        <w:rPr>
          <w:rFonts w:ascii="Century Gothic" w:eastAsiaTheme="minorHAnsi" w:hAnsi="Century Gothic" w:cs="Arial"/>
          <w:color w:val="000000" w:themeColor="text1"/>
          <w:sz w:val="22"/>
          <w:szCs w:val="22"/>
        </w:rPr>
        <w:t>Según el último informe global sobre niñez de Save the Children, en la actualidad, los niños y las niñas tienen más probabilidades de crecer sanos, recibir educación y estar protegidos que en cualquier otro momento en las últimas dos décadas. Sin embargo, en América Latina y El Caribe la violencia sigue siendo la principal causa de muerte en los niños y niñas. De acuerdo con esta Organización Internacional las tasas de homicidio infantil son "muy altas" en Venezuela y Colombia donde 20 de cada 100,000 adolescentes son asesinados</w:t>
      </w:r>
      <w:r w:rsidRPr="00D50B6F">
        <w:rPr>
          <w:rStyle w:val="Refdenotaalpie"/>
          <w:rFonts w:ascii="Century Gothic" w:eastAsiaTheme="minorHAnsi" w:hAnsi="Century Gothic" w:cs="Arial"/>
          <w:color w:val="000000" w:themeColor="text1"/>
          <w:sz w:val="22"/>
          <w:szCs w:val="22"/>
        </w:rPr>
        <w:footnoteReference w:id="7"/>
      </w:r>
      <w:r w:rsidRPr="00D50B6F">
        <w:rPr>
          <w:rFonts w:ascii="Century Gothic" w:eastAsiaTheme="minorHAnsi" w:hAnsi="Century Gothic" w:cs="Arial"/>
          <w:color w:val="000000" w:themeColor="text1"/>
          <w:sz w:val="22"/>
          <w:szCs w:val="22"/>
          <w:vertAlign w:val="superscript"/>
        </w:rPr>
        <w:t xml:space="preserve">. </w:t>
      </w:r>
      <w:r w:rsidRPr="00D50B6F">
        <w:rPr>
          <w:rFonts w:ascii="Century Gothic" w:eastAsiaTheme="minorHAnsi" w:hAnsi="Century Gothic" w:cs="Arial"/>
          <w:color w:val="000000" w:themeColor="text1"/>
          <w:sz w:val="22"/>
          <w:szCs w:val="22"/>
        </w:rPr>
        <w:t xml:space="preserve">  </w:t>
      </w:r>
    </w:p>
    <w:p w14:paraId="25DE490F" w14:textId="77777777" w:rsidR="00D50B6F" w:rsidRPr="00D50B6F" w:rsidRDefault="00D50B6F" w:rsidP="00D50B6F"/>
    <w:p w14:paraId="649C8B99" w14:textId="77777777" w:rsidR="00D50B6F" w:rsidRDefault="00D50B6F" w:rsidP="00D50B6F">
      <w:pPr>
        <w:pStyle w:val="Ttulo3"/>
        <w:shd w:val="clear" w:color="auto" w:fill="FFFFFF"/>
        <w:spacing w:line="276" w:lineRule="auto"/>
        <w:jc w:val="both"/>
        <w:rPr>
          <w:rFonts w:ascii="Century Gothic" w:eastAsiaTheme="minorHAnsi" w:hAnsi="Century Gothic" w:cs="Arial"/>
          <w:color w:val="000000" w:themeColor="text1"/>
          <w:sz w:val="22"/>
          <w:szCs w:val="22"/>
        </w:rPr>
      </w:pPr>
      <w:r w:rsidRPr="00D50B6F">
        <w:rPr>
          <w:rFonts w:ascii="Century Gothic" w:eastAsiaTheme="minorHAnsi" w:hAnsi="Century Gothic" w:cs="Arial"/>
          <w:color w:val="000000" w:themeColor="text1"/>
          <w:sz w:val="22"/>
          <w:szCs w:val="22"/>
        </w:rPr>
        <w:t>Ahora bien, no bastando los preocupantes índices de homicidios y de delitos sexuales contra los niños, niñas y adolescentes, se suma otro problema: los altos índices de impunidad frente al particular. Al respecto, la directora del ICBF Lina María Arbeláez ha dado un dato que se muestra desconcertante: "el 98 por ciento de los casos de violencia sexual contra niños, niñas y adolescentes están en impunidad"</w:t>
      </w:r>
      <w:r w:rsidRPr="00D50B6F">
        <w:rPr>
          <w:rFonts w:ascii="Century Gothic" w:eastAsiaTheme="minorHAnsi" w:hAnsi="Century Gothic" w:cs="Arial"/>
          <w:color w:val="000000" w:themeColor="text1"/>
          <w:sz w:val="22"/>
          <w:szCs w:val="22"/>
          <w:vertAlign w:val="superscript"/>
        </w:rPr>
        <w:footnoteReference w:id="8"/>
      </w:r>
    </w:p>
    <w:p w14:paraId="5BA58303" w14:textId="77777777" w:rsidR="00D50B6F" w:rsidRPr="00D50B6F" w:rsidRDefault="00D50B6F" w:rsidP="00D50B6F"/>
    <w:p w14:paraId="64A44CB7"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De acuerdo con la entrevista que se le hicere a la Directora del ICBF, “</w:t>
      </w:r>
      <w:r w:rsidRPr="00D50B6F">
        <w:rPr>
          <w:rFonts w:ascii="Century Gothic" w:hAnsi="Century Gothic" w:cs="Arial"/>
          <w:b/>
          <w:color w:val="000000" w:themeColor="text1"/>
          <w:sz w:val="22"/>
          <w:szCs w:val="22"/>
        </w:rPr>
        <w:t>casi la totalidad de casos que registra este Instituto siguen sin ser resueltos</w:t>
      </w:r>
      <w:r w:rsidRPr="00D50B6F">
        <w:rPr>
          <w:rFonts w:ascii="Century Gothic" w:hAnsi="Century Gothic" w:cs="Arial"/>
          <w:color w:val="000000" w:themeColor="text1"/>
          <w:sz w:val="22"/>
          <w:szCs w:val="22"/>
        </w:rPr>
        <w:t>. El sistema judicial colombiano no da a basto con los procesos y cada vez que llega una denuncia pueden pasar meses antes de que un fiscal o juez revise los pormenores del hecho. La Procuraduría también maneja cifras similares. En un estudio realizado por la entidad, entre enero de 2017 y agosto de 2018, </w:t>
      </w:r>
      <w:r w:rsidRPr="00D50B6F">
        <w:rPr>
          <w:rFonts w:ascii="Century Gothic" w:hAnsi="Century Gothic" w:cs="Arial"/>
          <w:b/>
          <w:bCs/>
          <w:color w:val="000000" w:themeColor="text1"/>
          <w:sz w:val="22"/>
          <w:szCs w:val="22"/>
        </w:rPr>
        <w:t>se encontró que el 90 por ciento (65.430) de los delitos sexuales estaban en fase de indagación; </w:t>
      </w:r>
      <w:r w:rsidRPr="00D50B6F">
        <w:rPr>
          <w:rFonts w:ascii="Century Gothic" w:hAnsi="Century Gothic" w:cs="Arial"/>
          <w:color w:val="000000" w:themeColor="text1"/>
          <w:sz w:val="22"/>
          <w:szCs w:val="22"/>
        </w:rPr>
        <w:t>solo el 1,2 por ciento en ejecución de penas; 5,7 por ciento en juicio y 2,5 por ciento en investigación”</w:t>
      </w:r>
      <w:r w:rsidRPr="00D50B6F">
        <w:rPr>
          <w:rFonts w:ascii="Century Gothic" w:hAnsi="Century Gothic" w:cs="Arial"/>
          <w:color w:val="000000" w:themeColor="text1"/>
          <w:sz w:val="22"/>
          <w:szCs w:val="22"/>
          <w:vertAlign w:val="superscript"/>
        </w:rPr>
        <w:footnoteReference w:id="9"/>
      </w:r>
      <w:r w:rsidRPr="00D50B6F">
        <w:rPr>
          <w:rFonts w:ascii="Century Gothic" w:hAnsi="Century Gothic" w:cs="Arial"/>
          <w:color w:val="000000" w:themeColor="text1"/>
          <w:sz w:val="22"/>
          <w:szCs w:val="22"/>
          <w:vertAlign w:val="superscript"/>
        </w:rPr>
        <w:t>.</w:t>
      </w:r>
    </w:p>
    <w:p w14:paraId="0E1FE40C"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787C527C"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lastRenderedPageBreak/>
        <w:t xml:space="preserve">Aunado a lo expuesto, la Alianza por la Niñez Colombiana da cuenta de cómo </w:t>
      </w:r>
      <w:r w:rsidRPr="00D50B6F">
        <w:rPr>
          <w:rFonts w:ascii="Century Gothic" w:hAnsi="Century Gothic" w:cs="Arial"/>
          <w:b/>
          <w:color w:val="000000" w:themeColor="text1"/>
          <w:sz w:val="22"/>
          <w:szCs w:val="22"/>
        </w:rPr>
        <w:t>la impunidad</w:t>
      </w:r>
      <w:r w:rsidRPr="00D50B6F">
        <w:rPr>
          <w:rFonts w:ascii="Century Gothic" w:hAnsi="Century Gothic" w:cs="Arial"/>
          <w:color w:val="000000" w:themeColor="text1"/>
          <w:sz w:val="22"/>
          <w:szCs w:val="22"/>
        </w:rPr>
        <w:t xml:space="preserve"> </w:t>
      </w:r>
      <w:r w:rsidRPr="00D50B6F">
        <w:rPr>
          <w:rFonts w:ascii="Century Gothic" w:hAnsi="Century Gothic" w:cs="Arial"/>
          <w:b/>
          <w:color w:val="000000" w:themeColor="text1"/>
          <w:sz w:val="22"/>
          <w:szCs w:val="22"/>
        </w:rPr>
        <w:t>respecto de los delitos de violencia sexual y homicidio contra niños, niñas y adolescentes llega a más de un 97% de los casos denunciados</w:t>
      </w:r>
      <w:r w:rsidRPr="00D50B6F">
        <w:rPr>
          <w:rStyle w:val="Refdenotaalpie"/>
          <w:rFonts w:ascii="Century Gothic" w:hAnsi="Century Gothic" w:cs="Arial"/>
          <w:color w:val="000000" w:themeColor="text1"/>
          <w:sz w:val="22"/>
          <w:szCs w:val="22"/>
        </w:rPr>
        <w:footnoteReference w:id="10"/>
      </w:r>
      <w:r w:rsidRPr="00D50B6F">
        <w:rPr>
          <w:rFonts w:ascii="Century Gothic" w:hAnsi="Century Gothic" w:cs="Arial"/>
          <w:color w:val="000000" w:themeColor="text1"/>
          <w:sz w:val="22"/>
          <w:szCs w:val="22"/>
          <w:vertAlign w:val="superscript"/>
        </w:rPr>
        <w:t xml:space="preserve">. </w:t>
      </w:r>
    </w:p>
    <w:p w14:paraId="54754CBE"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330DEBDE"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 xml:space="preserve">Es lo anterior, sin duda, uno de los principales problemas sobre los cuales se debe colocar la lupa; la falta de impulso en la etapa de indagación, que a la postre lleva a la impunidad, pues en vano resulta cualquier intento por agravar las penas contra este tipo de delitos si no se cuenta con un ente acusador fuerte y rápido capaz de hacer efectiva la indagación y la investigación de este tipo de delitos, a fin de ser efectivos con el reproche penal cuando a ello haya lugar. </w:t>
      </w:r>
    </w:p>
    <w:p w14:paraId="381E6B21"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0200B5C5"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 xml:space="preserve">Además, no menos importante, resulta necesario expresar que la modificación procesal penal aquí deseada </w:t>
      </w:r>
      <w:r w:rsidRPr="00D50B6F">
        <w:rPr>
          <w:rFonts w:ascii="Century Gothic" w:hAnsi="Century Gothic" w:cs="Arial"/>
          <w:b/>
          <w:color w:val="000000" w:themeColor="text1"/>
          <w:sz w:val="22"/>
          <w:szCs w:val="22"/>
        </w:rPr>
        <w:t>responde a la propia inconformidad de las víctimas, que con el paso del tiempo ven frustrado su reclamo de Justicia</w:t>
      </w:r>
      <w:r w:rsidRPr="00D50B6F">
        <w:rPr>
          <w:rFonts w:ascii="Century Gothic" w:hAnsi="Century Gothic" w:cs="Arial"/>
          <w:color w:val="000000" w:themeColor="text1"/>
          <w:sz w:val="22"/>
          <w:szCs w:val="22"/>
        </w:rPr>
        <w:t xml:space="preserve"> y, en no pocas veces, desalienta su intervención ante la misma Fiscalía y los Jueces, al pasar los años sin que siquiera se les llame y se imparta la tan anhelada justicia. Y en el peor de los casos, esa dilación para formular imputación -existiendo ya los EMP-, ha conllevado a que aquellas víctimas sean persuadidas o amenazadas -por referir solo algunos casos- para cambiar su versión inicial, sin pasar por alto que períodos de tiempo tan extensos conjuran o conspiran frente a la verdad de los hechos.</w:t>
      </w:r>
    </w:p>
    <w:p w14:paraId="704A05CE"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62CD955D"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 xml:space="preserve">Así las cosas, </w:t>
      </w:r>
      <w:r w:rsidRPr="00D50B6F">
        <w:rPr>
          <w:rFonts w:ascii="Century Gothic" w:hAnsi="Century Gothic" w:cs="Arial"/>
          <w:b/>
          <w:color w:val="000000" w:themeColor="text1"/>
          <w:sz w:val="22"/>
          <w:szCs w:val="22"/>
        </w:rPr>
        <w:t>lo pretendido con esta iniciativa no es otra cosa que apuntarle hacia la efectividad de las penas</w:t>
      </w:r>
      <w:r w:rsidRPr="00D50B6F">
        <w:rPr>
          <w:rFonts w:ascii="Century Gothic" w:hAnsi="Century Gothic" w:cs="Arial"/>
          <w:color w:val="000000" w:themeColor="text1"/>
          <w:sz w:val="22"/>
          <w:szCs w:val="22"/>
        </w:rPr>
        <w:t>, lo cual sea un complemento oportuno para las medidas que han perseguido endurecer los castigos, tratándose de este tipo de ilícitos reprochables desde todo punto de vista.</w:t>
      </w:r>
    </w:p>
    <w:p w14:paraId="03E8065A" w14:textId="77777777" w:rsidR="00D50B6F" w:rsidRPr="00D50B6F" w:rsidRDefault="00D50B6F" w:rsidP="00D50B6F">
      <w:pPr>
        <w:spacing w:line="276" w:lineRule="auto"/>
        <w:rPr>
          <w:rFonts w:ascii="Century Gothic" w:hAnsi="Century Gothic" w:cs="Arial"/>
          <w:color w:val="000000" w:themeColor="text1"/>
          <w:sz w:val="22"/>
          <w:szCs w:val="22"/>
        </w:rPr>
      </w:pPr>
    </w:p>
    <w:p w14:paraId="77485DF1"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t xml:space="preserve">Por último, en cuanto al impacto fiscal que se puede generar a partir de lo pretendido, debe decirse que lo aquí dispuesto se ajusta al ordenamiento jurídico actual en el sentido en que los recursos a asegurarse deben estar dentro del Presupuesto General de la Nación aprobado en los momentos de ley, esto es, no generaría costos adicionales o lo acordado cada tanto, con lo cual se busca que se ajuste al Marco Fiscal de Mediano Plazo, sin desconocer que también se contempla que sea un porcentaje progresivo y razonable. </w:t>
      </w:r>
    </w:p>
    <w:p w14:paraId="2E48F00C" w14:textId="77777777" w:rsidR="00D50B6F" w:rsidRPr="00D50B6F" w:rsidRDefault="00D50B6F" w:rsidP="00D50B6F">
      <w:pPr>
        <w:spacing w:line="276" w:lineRule="auto"/>
        <w:jc w:val="both"/>
        <w:rPr>
          <w:rFonts w:ascii="Century Gothic" w:hAnsi="Century Gothic" w:cs="Arial"/>
          <w:color w:val="000000" w:themeColor="text1"/>
          <w:sz w:val="22"/>
          <w:szCs w:val="22"/>
        </w:rPr>
      </w:pPr>
    </w:p>
    <w:p w14:paraId="3F2DBBD3" w14:textId="77777777" w:rsidR="00D50B6F" w:rsidRPr="00D50B6F" w:rsidRDefault="00D50B6F" w:rsidP="00D50B6F">
      <w:pPr>
        <w:spacing w:line="276" w:lineRule="auto"/>
        <w:jc w:val="both"/>
        <w:rPr>
          <w:rFonts w:ascii="Century Gothic" w:hAnsi="Century Gothic" w:cs="Arial"/>
          <w:color w:val="000000" w:themeColor="text1"/>
          <w:sz w:val="22"/>
          <w:szCs w:val="22"/>
        </w:rPr>
      </w:pPr>
      <w:r w:rsidRPr="00D50B6F">
        <w:rPr>
          <w:rFonts w:ascii="Century Gothic" w:hAnsi="Century Gothic" w:cs="Arial"/>
          <w:color w:val="000000" w:themeColor="text1"/>
          <w:sz w:val="22"/>
          <w:szCs w:val="22"/>
        </w:rPr>
        <w:lastRenderedPageBreak/>
        <w:t xml:space="preserve">La inclusión de tal mandato es de cardinal consideración pues de no garantizarse recursos para la unidad especializada de investigación de delitos cometidos contra los menores de edad, resultaría infructuoso cualquier intento por mejorar el aparato investigativo del ente acusador. </w:t>
      </w:r>
    </w:p>
    <w:p w14:paraId="0F0983B7" w14:textId="77777777" w:rsidR="000612DF" w:rsidRPr="00D50B6F" w:rsidRDefault="000612DF" w:rsidP="00FC6658">
      <w:pPr>
        <w:jc w:val="both"/>
        <w:rPr>
          <w:rFonts w:ascii="Century Gothic" w:hAnsi="Century Gothic" w:cs="Arial"/>
          <w:color w:val="000000" w:themeColor="text1"/>
        </w:rPr>
      </w:pPr>
    </w:p>
    <w:p w14:paraId="4FD1E6C6" w14:textId="212F7611" w:rsidR="00D50B6F" w:rsidRPr="00D50B6F" w:rsidRDefault="00D50B6F" w:rsidP="00D50B6F">
      <w:pPr>
        <w:pStyle w:val="Prrafodelista"/>
        <w:numPr>
          <w:ilvl w:val="0"/>
          <w:numId w:val="5"/>
        </w:numPr>
        <w:spacing w:line="276" w:lineRule="auto"/>
        <w:jc w:val="both"/>
        <w:rPr>
          <w:rFonts w:ascii="Century Gothic" w:hAnsi="Century Gothic" w:cs="Arial"/>
          <w:b/>
          <w:color w:val="000000" w:themeColor="text1"/>
        </w:rPr>
      </w:pPr>
      <w:r w:rsidRPr="00D50B6F">
        <w:rPr>
          <w:rFonts w:ascii="Century Gothic" w:hAnsi="Century Gothic" w:cs="Arial"/>
          <w:b/>
          <w:color w:val="000000" w:themeColor="text1"/>
        </w:rPr>
        <w:t xml:space="preserve">Consideraciones constitucionales y legales. </w:t>
      </w:r>
    </w:p>
    <w:p w14:paraId="38213E9E" w14:textId="77777777" w:rsidR="00E90B0A" w:rsidRPr="00E90B0A" w:rsidRDefault="00E90B0A" w:rsidP="000612DF">
      <w:pPr>
        <w:spacing w:line="276" w:lineRule="auto"/>
        <w:jc w:val="both"/>
        <w:rPr>
          <w:rFonts w:ascii="Century Gothic" w:hAnsi="Century Gothic" w:cs="Arial"/>
          <w:color w:val="000000" w:themeColor="text1"/>
        </w:rPr>
      </w:pPr>
    </w:p>
    <w:p w14:paraId="60F1A817" w14:textId="77777777" w:rsidR="00D50B6F" w:rsidRPr="00D50B6F" w:rsidRDefault="00D50B6F" w:rsidP="00D50B6F">
      <w:pPr>
        <w:spacing w:line="276" w:lineRule="auto"/>
        <w:jc w:val="both"/>
        <w:rPr>
          <w:rFonts w:ascii="Century Gothic" w:hAnsi="Century Gothic" w:cs="Arial"/>
          <w:color w:val="000000" w:themeColor="text1"/>
        </w:rPr>
      </w:pPr>
      <w:r w:rsidRPr="00D50B6F">
        <w:rPr>
          <w:rFonts w:ascii="Century Gothic" w:hAnsi="Century Gothic" w:cs="Arial"/>
          <w:color w:val="000000" w:themeColor="text1"/>
        </w:rPr>
        <w:t xml:space="preserve">Lo primero que cabe indicar en este punto es que lo pretendido en esta propuesta normativa se encuadra dentro de la libertad de configuración legislativa tan desarrollada jurisprudencialmente, e igualmente, compartiendo la </w:t>
      </w:r>
      <w:r w:rsidRPr="00D50B6F">
        <w:rPr>
          <w:rFonts w:ascii="Century Gothic" w:hAnsi="Century Gothic" w:cs="Arial"/>
          <w:i/>
          <w:color w:val="000000" w:themeColor="text1"/>
        </w:rPr>
        <w:t>ratio decidendi</w:t>
      </w:r>
      <w:r w:rsidRPr="00D50B6F">
        <w:rPr>
          <w:rFonts w:ascii="Century Gothic" w:hAnsi="Century Gothic" w:cs="Arial"/>
          <w:color w:val="000000" w:themeColor="text1"/>
        </w:rPr>
        <w:t xml:space="preserve"> de la Sentencia de la H. Corte Constitucional para declarar exequible el parágrafo del artículo 175 del C.P.P., el deseo de este proyecto no es coartar la función investigativa del ente acusador, sino más bien buscar que tal actividad se realice con mayor ímpetu y celeridad. </w:t>
      </w:r>
    </w:p>
    <w:p w14:paraId="31CA5B64" w14:textId="77777777" w:rsidR="00D50B6F" w:rsidRPr="00D50B6F" w:rsidRDefault="00D50B6F" w:rsidP="00D50B6F">
      <w:pPr>
        <w:spacing w:line="276" w:lineRule="auto"/>
        <w:jc w:val="both"/>
        <w:rPr>
          <w:rFonts w:ascii="Century Gothic" w:hAnsi="Century Gothic" w:cs="Arial"/>
          <w:color w:val="000000" w:themeColor="text1"/>
        </w:rPr>
      </w:pPr>
    </w:p>
    <w:p w14:paraId="3B20C76C" w14:textId="77777777" w:rsidR="00D50B6F" w:rsidRPr="00D50B6F" w:rsidRDefault="00D50B6F" w:rsidP="00D50B6F">
      <w:pPr>
        <w:spacing w:line="276" w:lineRule="auto"/>
        <w:jc w:val="both"/>
        <w:rPr>
          <w:rFonts w:ascii="Century Gothic" w:hAnsi="Century Gothic" w:cs="Arial"/>
          <w:color w:val="000000" w:themeColor="text1"/>
        </w:rPr>
      </w:pPr>
      <w:r w:rsidRPr="00D50B6F">
        <w:rPr>
          <w:rFonts w:ascii="Century Gothic" w:hAnsi="Century Gothic" w:cs="Arial"/>
          <w:color w:val="000000" w:themeColor="text1"/>
        </w:rPr>
        <w:t>En ese horizonte, por resultar siendo razones similares aplicables al caso que aquí reune la atención, conviene traer a colación lo expresado por la Guardiana de la Constitución para declarar la exequibilidad de tal imposición de topes temporales:</w:t>
      </w:r>
    </w:p>
    <w:p w14:paraId="738F47A2" w14:textId="77777777" w:rsidR="00D50B6F" w:rsidRPr="00D50B6F" w:rsidRDefault="00D50B6F" w:rsidP="00D50B6F">
      <w:pPr>
        <w:spacing w:line="276" w:lineRule="auto"/>
        <w:ind w:left="284" w:right="284"/>
        <w:jc w:val="both"/>
        <w:rPr>
          <w:rFonts w:ascii="Century Gothic" w:hAnsi="Century Gothic" w:cs="Arial"/>
          <w:color w:val="000000" w:themeColor="text1"/>
        </w:rPr>
      </w:pPr>
    </w:p>
    <w:p w14:paraId="5ABC040A" w14:textId="3F6F577D" w:rsidR="00D50B6F" w:rsidRPr="00D50B6F" w:rsidRDefault="00D50B6F" w:rsidP="00D50B6F">
      <w:pPr>
        <w:shd w:val="clear" w:color="auto" w:fill="FFFFFF"/>
        <w:spacing w:line="276" w:lineRule="auto"/>
        <w:ind w:left="284" w:right="284"/>
        <w:jc w:val="both"/>
        <w:rPr>
          <w:rFonts w:ascii="Century Gothic" w:hAnsi="Century Gothic" w:cs="Arial"/>
          <w:i/>
          <w:color w:val="000000" w:themeColor="text1"/>
        </w:rPr>
      </w:pPr>
      <w:r w:rsidRPr="00D50B6F">
        <w:rPr>
          <w:rFonts w:ascii="Century Gothic" w:hAnsi="Century Gothic" w:cs="Arial"/>
          <w:i/>
          <w:color w:val="000000" w:themeColor="text1"/>
        </w:rPr>
        <w:t>“</w:t>
      </w:r>
      <w:r w:rsidRPr="00D50B6F">
        <w:rPr>
          <w:rFonts w:ascii="Century Gothic" w:hAnsi="Century Gothic" w:cs="Arial"/>
          <w:b/>
          <w:i/>
          <w:color w:val="000000" w:themeColor="text1"/>
          <w:u w:val="single"/>
        </w:rPr>
        <w:t>El establecimiento de límites temporales a esta fase del procedimiento penal no suprime las facultades y funciones investigativas de la Fiscalía General de la Nación, sino que, por el contrario, la impulsa a desarrollarlas diligente y eficazmente</w:t>
      </w:r>
      <w:r w:rsidRPr="00D50B6F">
        <w:rPr>
          <w:rFonts w:ascii="Century Gothic" w:hAnsi="Century Gothic" w:cs="Arial"/>
          <w:i/>
          <w:color w:val="000000" w:themeColor="text1"/>
        </w:rPr>
        <w:t xml:space="preserve">; tampoco afecta los derechos de las víctimas a la verdad, a la justicia y a la reparación, porque obliga a las instancias judiciales a materializar sus derechos en términos cortos y precisos. Y aunque eventualmente el vencimiento del plazo puede dar lugar al archivo de las diligencias, tal decisión debe ser motivada a partir de los supuestos previstos en el artículo 79 del CPP, y se puede disponer la reapertura del caso cuando exista mérito para ello. En segundo lugar, los términos de dos, tres y cinco años previstos en la disposición acusada, responden a criterios de razonabilidad y se enmarcan dentro de la libertad de configuración legislativa”. </w:t>
      </w:r>
      <w:r w:rsidRPr="00D50B6F">
        <w:rPr>
          <w:rFonts w:ascii="Century Gothic" w:hAnsi="Century Gothic" w:cs="Arial"/>
          <w:color w:val="000000" w:themeColor="text1"/>
        </w:rPr>
        <w:t>(Sentencia C- 893 de 2012).</w:t>
      </w:r>
      <w:r>
        <w:rPr>
          <w:rFonts w:ascii="Century Gothic" w:hAnsi="Century Gothic" w:cs="Arial"/>
          <w:i/>
          <w:color w:val="000000" w:themeColor="text1"/>
        </w:rPr>
        <w:t xml:space="preserve"> </w:t>
      </w:r>
      <w:r w:rsidRPr="00D50B6F">
        <w:rPr>
          <w:rFonts w:ascii="Century Gothic" w:hAnsi="Century Gothic" w:cs="Arial"/>
          <w:color w:val="000000" w:themeColor="text1"/>
        </w:rPr>
        <w:t xml:space="preserve">Negrita </w:t>
      </w:r>
      <w:r w:rsidR="00394C6D">
        <w:rPr>
          <w:rFonts w:ascii="Century Gothic" w:hAnsi="Century Gothic" w:cs="Arial"/>
          <w:color w:val="000000" w:themeColor="text1"/>
        </w:rPr>
        <w:t xml:space="preserve">y subraya </w:t>
      </w:r>
      <w:r w:rsidRPr="00D50B6F">
        <w:rPr>
          <w:rFonts w:ascii="Century Gothic" w:hAnsi="Century Gothic" w:cs="Arial"/>
          <w:color w:val="000000" w:themeColor="text1"/>
        </w:rPr>
        <w:t>fuera del original.</w:t>
      </w:r>
      <w:r>
        <w:rPr>
          <w:rFonts w:ascii="Century Gothic" w:hAnsi="Century Gothic" w:cs="Arial"/>
          <w:i/>
          <w:color w:val="000000" w:themeColor="text1"/>
        </w:rPr>
        <w:t xml:space="preserve"> </w:t>
      </w:r>
      <w:r w:rsidRPr="00D50B6F">
        <w:rPr>
          <w:rFonts w:ascii="Century Gothic" w:hAnsi="Century Gothic" w:cs="Arial"/>
          <w:i/>
          <w:color w:val="000000" w:themeColor="text1"/>
        </w:rPr>
        <w:t xml:space="preserve"> </w:t>
      </w:r>
    </w:p>
    <w:p w14:paraId="79F3ECF0" w14:textId="77777777" w:rsidR="00D50B6F" w:rsidRPr="00D50B6F" w:rsidRDefault="00D50B6F" w:rsidP="00D50B6F">
      <w:pPr>
        <w:shd w:val="clear" w:color="auto" w:fill="FFFFFF"/>
        <w:spacing w:line="276" w:lineRule="auto"/>
        <w:ind w:left="284" w:right="284"/>
        <w:jc w:val="both"/>
        <w:rPr>
          <w:rFonts w:ascii="Century Gothic" w:hAnsi="Century Gothic" w:cs="Arial"/>
          <w:i/>
          <w:color w:val="000000" w:themeColor="text1"/>
        </w:rPr>
      </w:pPr>
      <w:r w:rsidRPr="00D50B6F">
        <w:rPr>
          <w:rFonts w:ascii="Century Gothic" w:hAnsi="Century Gothic" w:cs="Arial"/>
          <w:i/>
          <w:color w:val="000000" w:themeColor="text1"/>
        </w:rPr>
        <w:t> </w:t>
      </w:r>
    </w:p>
    <w:p w14:paraId="1DD5B650" w14:textId="31C0B4A0" w:rsidR="00D50B6F" w:rsidRPr="00D50B6F" w:rsidRDefault="00D50B6F" w:rsidP="00D50B6F">
      <w:pPr>
        <w:spacing w:line="276" w:lineRule="auto"/>
        <w:jc w:val="both"/>
        <w:rPr>
          <w:rFonts w:ascii="Century Gothic" w:hAnsi="Century Gothic" w:cs="Arial"/>
          <w:color w:val="000000" w:themeColor="text1"/>
        </w:rPr>
      </w:pPr>
      <w:r w:rsidRPr="00D50B6F">
        <w:rPr>
          <w:rFonts w:ascii="Century Gothic" w:hAnsi="Century Gothic" w:cs="Arial"/>
          <w:color w:val="000000" w:themeColor="text1"/>
        </w:rPr>
        <w:lastRenderedPageBreak/>
        <w:t xml:space="preserve">Por su parte, el término diferenciado que se propone en este proyecto encuentra su razón de ser en el criterio de discriminación positiva que se desliga del derecho a la igualdad (art. 13 Superior) y está orientado hacia la salvaguarda del interés superior del niño, según el cual, siguiendo lo expresado en la misma Norma de normas (art. 44 Superior) y en tratados internacionales ratificados por Colombia (v.gr. la Convención sobre los Derechos del Niño del 20 de noviembre de 1989); los derechos de los niños prevalecen sobre los derechos de los demás. </w:t>
      </w:r>
    </w:p>
    <w:p w14:paraId="2ABFF01C" w14:textId="77777777" w:rsidR="00D50B6F" w:rsidRPr="00D50B6F" w:rsidRDefault="00D50B6F" w:rsidP="00D50B6F">
      <w:pPr>
        <w:pStyle w:val="NormalWeb"/>
        <w:spacing w:line="276" w:lineRule="auto"/>
        <w:jc w:val="both"/>
        <w:rPr>
          <w:rFonts w:ascii="Century Gothic" w:eastAsiaTheme="minorHAnsi" w:hAnsi="Century Gothic" w:cs="Arial"/>
          <w:color w:val="000000" w:themeColor="text1"/>
          <w:lang w:eastAsia="es-ES"/>
        </w:rPr>
      </w:pPr>
      <w:r w:rsidRPr="00D50B6F">
        <w:rPr>
          <w:rFonts w:ascii="Century Gothic" w:eastAsiaTheme="minorHAnsi" w:hAnsi="Century Gothic" w:cs="Arial"/>
          <w:color w:val="000000" w:themeColor="text1"/>
          <w:lang w:eastAsia="es-ES"/>
        </w:rPr>
        <w:t>Asimismo, debe recordarse que merced al artículo 193 del Código de Infancia y Adolescencia: “</w:t>
      </w:r>
      <w:r w:rsidRPr="00D50B6F">
        <w:rPr>
          <w:rFonts w:ascii="Century Gothic" w:eastAsiaTheme="minorHAnsi" w:hAnsi="Century Gothic" w:cs="Arial"/>
          <w:i/>
          <w:color w:val="000000" w:themeColor="text1"/>
          <w:lang w:eastAsia="es-ES"/>
        </w:rPr>
        <w:t>Con el fin de hacer efectivos los principios previstos en el artículo anterior y garantizar el restablecimiento de los derechos, en los procesos por delitos en los cuales sean víctimas los niños, las niñas y los adolescentes la autoridad judicial tendrá en cuenta los siguientes criterios específicos: (…) 1. Dará prioridad a las diligencias, pruebas, actuaciones y decisiones que se han de tomar.</w:t>
      </w:r>
      <w:r w:rsidRPr="00D50B6F">
        <w:rPr>
          <w:rFonts w:ascii="Century Gothic" w:eastAsiaTheme="minorHAnsi" w:hAnsi="Century Gothic" w:cs="Arial"/>
          <w:color w:val="000000" w:themeColor="text1"/>
          <w:lang w:eastAsia="es-ES"/>
        </w:rPr>
        <w:t xml:space="preserve"> (…)”, razón por la cual se justifica dar un tratamiento preferente en la etapa de indagación cuando quiera que el sujeto pasivo de la conducta punible sea un menor de edad, el cual, no resulta inane decirlo, es un sujeto de especial protección constitucional. </w:t>
      </w:r>
    </w:p>
    <w:p w14:paraId="0283091A" w14:textId="77777777" w:rsidR="009173F4" w:rsidRPr="000612DF" w:rsidRDefault="009173F4" w:rsidP="000612DF">
      <w:pPr>
        <w:pStyle w:val="NormalWeb"/>
        <w:shd w:val="clear" w:color="auto" w:fill="FFFFFF"/>
        <w:spacing w:before="240" w:beforeAutospacing="0" w:after="240" w:afterAutospacing="0" w:line="276" w:lineRule="auto"/>
        <w:jc w:val="both"/>
        <w:rPr>
          <w:rFonts w:ascii="Century Gothic" w:eastAsiaTheme="minorHAnsi" w:hAnsi="Century Gothic" w:cs="Arial"/>
          <w:color w:val="000000" w:themeColor="text1"/>
          <w:lang w:eastAsia="es-ES"/>
        </w:rPr>
      </w:pPr>
    </w:p>
    <w:p w14:paraId="34B58A6E" w14:textId="32966F27" w:rsidR="007A2386" w:rsidRPr="007363B6" w:rsidRDefault="00EC5F64" w:rsidP="007363B6">
      <w:pPr>
        <w:pStyle w:val="Prrafodelista"/>
        <w:numPr>
          <w:ilvl w:val="0"/>
          <w:numId w:val="5"/>
        </w:numPr>
        <w:spacing w:line="276" w:lineRule="auto"/>
        <w:jc w:val="both"/>
        <w:rPr>
          <w:rFonts w:ascii="Century Gothic" w:hAnsi="Century Gothic" w:cs="Arial"/>
          <w:b/>
          <w:bCs/>
        </w:rPr>
      </w:pPr>
      <w:r>
        <w:rPr>
          <w:rFonts w:ascii="Century Gothic" w:hAnsi="Century Gothic" w:cs="Arial"/>
          <w:b/>
          <w:bCs/>
        </w:rPr>
        <w:t>Articulado propuesto</w:t>
      </w:r>
      <w:r w:rsidR="007363B6" w:rsidRPr="007363B6">
        <w:rPr>
          <w:rFonts w:ascii="Century Gothic" w:hAnsi="Century Gothic" w:cs="Arial"/>
          <w:b/>
          <w:bCs/>
        </w:rPr>
        <w:t>.</w:t>
      </w:r>
    </w:p>
    <w:p w14:paraId="6EA19DAE" w14:textId="77777777" w:rsidR="007363B6" w:rsidRPr="007363B6" w:rsidRDefault="007363B6" w:rsidP="007363B6">
      <w:pPr>
        <w:spacing w:line="276" w:lineRule="auto"/>
        <w:jc w:val="both"/>
        <w:rPr>
          <w:rFonts w:ascii="Century Gothic" w:hAnsi="Century Gothic" w:cs="Arial"/>
          <w:bCs/>
        </w:rPr>
      </w:pPr>
    </w:p>
    <w:p w14:paraId="59D01BB1" w14:textId="77777777" w:rsidR="00EC5F64" w:rsidRPr="00EC5F64" w:rsidRDefault="00EC5F64" w:rsidP="00EC5F64">
      <w:pPr>
        <w:spacing w:line="276" w:lineRule="auto"/>
        <w:jc w:val="both"/>
        <w:rPr>
          <w:rFonts w:ascii="Century Gothic" w:hAnsi="Century Gothic" w:cs="Arial"/>
          <w:color w:val="000000" w:themeColor="text1"/>
        </w:rPr>
      </w:pPr>
      <w:r w:rsidRPr="00EC5F64">
        <w:rPr>
          <w:rFonts w:ascii="Century Gothic" w:hAnsi="Century Gothic" w:cs="Arial"/>
          <w:color w:val="000000" w:themeColor="text1"/>
        </w:rPr>
        <w:t xml:space="preserve">El </w:t>
      </w:r>
      <w:r w:rsidRPr="00EC5F64">
        <w:rPr>
          <w:rFonts w:ascii="Century Gothic" w:hAnsi="Century Gothic" w:cs="Arial"/>
          <w:b/>
          <w:color w:val="000000" w:themeColor="text1"/>
        </w:rPr>
        <w:t>artículo 1</w:t>
      </w:r>
      <w:r w:rsidRPr="00EC5F64">
        <w:rPr>
          <w:rFonts w:ascii="Century Gothic" w:hAnsi="Century Gothic" w:cs="Arial"/>
          <w:color w:val="000000" w:themeColor="text1"/>
        </w:rPr>
        <w:t xml:space="preserve"> del presente proyecto de ley busca modificar el artículo 175 del Código de Procedimiento Penal con el fin de establecer, para el caso de delitos de homicidio o sexuales cometidos contra los niños, niñas y adolescentes, un término perentorio de seis (6) meses prorrogables hasta por un periodo igual para que el fiscal correspondiente formule la imputación u ordene el archivo del proceso, so pena de verse relevado de la actuación y de estar sujeto a las sanciones que se deriven de su falta de diligencia. Lo anterior, sin que obste para que se pueda reabrir el caso cuando exista mérito para ello.  </w:t>
      </w:r>
    </w:p>
    <w:p w14:paraId="1FC34206" w14:textId="77777777" w:rsidR="00EC5F64" w:rsidRPr="00EC5F64" w:rsidRDefault="00EC5F64" w:rsidP="00EC5F64">
      <w:pPr>
        <w:spacing w:line="276" w:lineRule="auto"/>
        <w:jc w:val="both"/>
        <w:rPr>
          <w:rFonts w:ascii="Century Gothic" w:hAnsi="Century Gothic" w:cs="Arial"/>
          <w:color w:val="000000" w:themeColor="text1"/>
        </w:rPr>
      </w:pPr>
    </w:p>
    <w:p w14:paraId="20C8A929" w14:textId="77777777" w:rsidR="00EC5F64" w:rsidRPr="00EC5F64" w:rsidRDefault="00EC5F64" w:rsidP="00EC5F64">
      <w:pPr>
        <w:spacing w:line="276" w:lineRule="auto"/>
        <w:jc w:val="both"/>
        <w:rPr>
          <w:rFonts w:ascii="Century Gothic" w:hAnsi="Century Gothic" w:cs="Arial"/>
          <w:color w:val="000000" w:themeColor="text1"/>
        </w:rPr>
      </w:pPr>
      <w:r w:rsidRPr="00EC5F64">
        <w:rPr>
          <w:rFonts w:ascii="Century Gothic" w:hAnsi="Century Gothic" w:cs="Arial"/>
          <w:color w:val="000000" w:themeColor="text1"/>
        </w:rPr>
        <w:t xml:space="preserve">El </w:t>
      </w:r>
      <w:r w:rsidRPr="00EC5F64">
        <w:rPr>
          <w:rFonts w:ascii="Century Gothic" w:hAnsi="Century Gothic" w:cs="Arial"/>
          <w:b/>
          <w:color w:val="000000" w:themeColor="text1"/>
        </w:rPr>
        <w:t>artículo 2</w:t>
      </w:r>
      <w:r w:rsidRPr="00EC5F64">
        <w:rPr>
          <w:rFonts w:ascii="Century Gothic" w:hAnsi="Century Gothic" w:cs="Arial"/>
          <w:color w:val="000000" w:themeColor="text1"/>
        </w:rPr>
        <w:t xml:space="preserve"> persigue modificar el artículo 201 de la misma norma procesal, con el ánimo de crear la Unidad Especial de Investigación de delitos de alto </w:t>
      </w:r>
      <w:r w:rsidRPr="00EC5F64">
        <w:rPr>
          <w:rFonts w:ascii="Century Gothic" w:hAnsi="Century Gothic" w:cs="Arial"/>
          <w:color w:val="000000" w:themeColor="text1"/>
        </w:rPr>
        <w:lastRenderedPageBreak/>
        <w:t xml:space="preserve">impacto cometidos contra la infancia y la adolescencia, asegurando que cuente con un equipo técnico y personal suficiente e idóneo para lograr que la etapa de indagación sea pronta y eficaz. </w:t>
      </w:r>
    </w:p>
    <w:p w14:paraId="4D0E6096" w14:textId="77777777" w:rsidR="00EC5F64" w:rsidRPr="00EC5F64" w:rsidRDefault="00EC5F64" w:rsidP="00EC5F64">
      <w:pPr>
        <w:spacing w:line="276" w:lineRule="auto"/>
        <w:jc w:val="both"/>
        <w:rPr>
          <w:rFonts w:ascii="Century Gothic" w:hAnsi="Century Gothic" w:cs="Arial"/>
          <w:color w:val="000000" w:themeColor="text1"/>
        </w:rPr>
      </w:pPr>
    </w:p>
    <w:p w14:paraId="3B9C3A67" w14:textId="77777777" w:rsidR="00EC5F64" w:rsidRPr="00EC5F64" w:rsidRDefault="00EC5F64" w:rsidP="00EC5F64">
      <w:pPr>
        <w:spacing w:line="276" w:lineRule="auto"/>
        <w:jc w:val="both"/>
        <w:rPr>
          <w:rFonts w:ascii="Century Gothic" w:hAnsi="Century Gothic" w:cs="Arial"/>
          <w:color w:val="000000" w:themeColor="text1"/>
        </w:rPr>
      </w:pPr>
      <w:r w:rsidRPr="00EC5F64">
        <w:rPr>
          <w:rFonts w:ascii="Century Gothic" w:hAnsi="Century Gothic" w:cs="Arial"/>
          <w:color w:val="000000" w:themeColor="text1"/>
        </w:rPr>
        <w:t xml:space="preserve">El </w:t>
      </w:r>
      <w:r w:rsidRPr="00EC5F64">
        <w:rPr>
          <w:rFonts w:ascii="Century Gothic" w:hAnsi="Century Gothic" w:cs="Arial"/>
          <w:b/>
          <w:color w:val="000000" w:themeColor="text1"/>
        </w:rPr>
        <w:t>artículo 3</w:t>
      </w:r>
      <w:r w:rsidRPr="00EC5F64">
        <w:rPr>
          <w:rFonts w:ascii="Century Gothic" w:hAnsi="Century Gothic" w:cs="Arial"/>
          <w:color w:val="000000" w:themeColor="text1"/>
        </w:rPr>
        <w:t xml:space="preserve"> se encarga de otorgarle el término de un año a la Fiscalía General de la Nación para que proceda con la reglamentación e implementación de lo aquí normado. </w:t>
      </w:r>
    </w:p>
    <w:p w14:paraId="73794813" w14:textId="77777777" w:rsidR="00EC5F64" w:rsidRPr="00EC5F64" w:rsidRDefault="00EC5F64" w:rsidP="00EC5F64">
      <w:pPr>
        <w:spacing w:line="276" w:lineRule="auto"/>
        <w:jc w:val="both"/>
        <w:rPr>
          <w:rFonts w:ascii="Century Gothic" w:hAnsi="Century Gothic" w:cs="Arial"/>
          <w:color w:val="000000" w:themeColor="text1"/>
        </w:rPr>
      </w:pPr>
    </w:p>
    <w:p w14:paraId="0ECEE5C2" w14:textId="77777777" w:rsidR="00EC5F64" w:rsidRPr="00EC5F64" w:rsidRDefault="00EC5F64" w:rsidP="00EC5F64">
      <w:pPr>
        <w:spacing w:line="276" w:lineRule="auto"/>
        <w:jc w:val="both"/>
        <w:rPr>
          <w:rFonts w:ascii="Century Gothic" w:hAnsi="Century Gothic" w:cs="Arial"/>
          <w:color w:val="000000" w:themeColor="text1"/>
        </w:rPr>
      </w:pPr>
      <w:r w:rsidRPr="00EC5F64">
        <w:rPr>
          <w:rFonts w:ascii="Century Gothic" w:hAnsi="Century Gothic" w:cs="Arial"/>
          <w:color w:val="000000" w:themeColor="text1"/>
        </w:rPr>
        <w:t xml:space="preserve">Por último, el </w:t>
      </w:r>
      <w:r w:rsidRPr="00EC5F64">
        <w:rPr>
          <w:rFonts w:ascii="Century Gothic" w:hAnsi="Century Gothic" w:cs="Arial"/>
          <w:b/>
          <w:color w:val="000000" w:themeColor="text1"/>
        </w:rPr>
        <w:t>artículo 4</w:t>
      </w:r>
      <w:r w:rsidRPr="00EC5F64">
        <w:rPr>
          <w:rFonts w:ascii="Century Gothic" w:hAnsi="Century Gothic" w:cs="Arial"/>
          <w:color w:val="000000" w:themeColor="text1"/>
        </w:rPr>
        <w:t xml:space="preserve"> se ocupa de prever la vigencia y derogatorias de esta propuesta legislativa.</w:t>
      </w:r>
    </w:p>
    <w:p w14:paraId="742978B1" w14:textId="77777777" w:rsidR="007363B6" w:rsidRPr="00EC5F64" w:rsidRDefault="007363B6" w:rsidP="007363B6">
      <w:pPr>
        <w:spacing w:line="276" w:lineRule="auto"/>
        <w:jc w:val="both"/>
        <w:rPr>
          <w:rFonts w:ascii="Century Gothic" w:hAnsi="Century Gothic" w:cs="Arial"/>
          <w:color w:val="000000" w:themeColor="text1"/>
        </w:rPr>
      </w:pPr>
    </w:p>
    <w:p w14:paraId="76080746" w14:textId="77777777" w:rsidR="007363B6" w:rsidRPr="00EC5F64" w:rsidRDefault="007363B6" w:rsidP="007363B6">
      <w:pPr>
        <w:spacing w:line="276" w:lineRule="auto"/>
        <w:jc w:val="both"/>
        <w:rPr>
          <w:rFonts w:ascii="Century Gothic" w:hAnsi="Century Gothic" w:cs="Arial"/>
          <w:color w:val="000000" w:themeColor="text1"/>
        </w:rPr>
      </w:pPr>
    </w:p>
    <w:p w14:paraId="0B11E417" w14:textId="2D9B24C7" w:rsidR="00250012" w:rsidRPr="00BE754E" w:rsidRDefault="00250012" w:rsidP="00BE754E">
      <w:pPr>
        <w:pStyle w:val="Prrafodelista"/>
        <w:numPr>
          <w:ilvl w:val="0"/>
          <w:numId w:val="5"/>
        </w:numPr>
        <w:jc w:val="both"/>
        <w:rPr>
          <w:rFonts w:ascii="Century Gothic" w:hAnsi="Century Gothic" w:cs="Arial"/>
          <w:b/>
          <w:bCs/>
        </w:rPr>
      </w:pPr>
      <w:r w:rsidRPr="00BE754E">
        <w:rPr>
          <w:rFonts w:ascii="Century Gothic" w:hAnsi="Century Gothic" w:cs="Arial"/>
          <w:b/>
          <w:bCs/>
        </w:rPr>
        <w:t xml:space="preserve"> </w:t>
      </w:r>
      <w:r w:rsidR="0077383C" w:rsidRPr="00BE754E">
        <w:rPr>
          <w:rFonts w:ascii="Century Gothic" w:hAnsi="Century Gothic" w:cs="Arial"/>
          <w:b/>
          <w:bCs/>
        </w:rPr>
        <w:t>Impacto Fiscal.</w:t>
      </w:r>
    </w:p>
    <w:p w14:paraId="04010693" w14:textId="77777777" w:rsidR="006F057C" w:rsidRDefault="006F057C" w:rsidP="00250012">
      <w:pPr>
        <w:jc w:val="both"/>
        <w:rPr>
          <w:rFonts w:ascii="Century Gothic" w:hAnsi="Century Gothic" w:cs="Arial"/>
        </w:rPr>
      </w:pPr>
    </w:p>
    <w:p w14:paraId="2EB811AD" w14:textId="45A8454F" w:rsidR="006F057C" w:rsidRDefault="006F057C" w:rsidP="009173F4">
      <w:pPr>
        <w:shd w:val="clear" w:color="auto" w:fill="FFFFFF"/>
        <w:adjustRightInd w:val="0"/>
        <w:spacing w:before="57" w:after="57" w:line="288" w:lineRule="auto"/>
        <w:jc w:val="both"/>
        <w:textAlignment w:val="center"/>
        <w:rPr>
          <w:rFonts w:ascii="Century Gothic" w:hAnsi="Century Gothic" w:cs="Arial"/>
          <w:color w:val="000000"/>
          <w:spacing w:val="-1"/>
          <w:lang w:val="es-ES_tradnl"/>
        </w:rPr>
      </w:pPr>
      <w:r w:rsidRPr="006F057C">
        <w:rPr>
          <w:rFonts w:ascii="Century Gothic" w:hAnsi="Century Gothic" w:cs="Arial"/>
          <w:color w:val="000000"/>
          <w:spacing w:val="-1"/>
          <w:lang w:val="es-ES_tradnl"/>
        </w:rPr>
        <w:t>En reiterados fallos de la Corte Constitucional</w:t>
      </w:r>
      <w:r>
        <w:rPr>
          <w:rFonts w:ascii="Century Gothic" w:hAnsi="Century Gothic" w:cs="Arial"/>
          <w:color w:val="000000"/>
          <w:spacing w:val="-1"/>
          <w:lang w:val="es-ES_tradnl"/>
        </w:rPr>
        <w:t xml:space="preserve"> se</w:t>
      </w:r>
      <w:r w:rsidRPr="006F057C">
        <w:rPr>
          <w:rFonts w:ascii="Century Gothic" w:hAnsi="Century Gothic" w:cs="Arial"/>
          <w:color w:val="000000"/>
          <w:spacing w:val="-1"/>
          <w:lang w:val="es-ES_tradnl"/>
        </w:rPr>
        <w:t xml:space="preserve"> ha dispuesto que el legislador no puede dejar de legislar por materia de recursos, para ello tenemos como sustento los diferentes pronunciamientos de la </w:t>
      </w:r>
      <w:r>
        <w:rPr>
          <w:rFonts w:ascii="Century Gothic" w:hAnsi="Century Gothic" w:cs="Arial"/>
          <w:color w:val="000000"/>
          <w:spacing w:val="-1"/>
          <w:lang w:val="es-ES_tradnl"/>
        </w:rPr>
        <w:t>Corte Constitucional, como</w:t>
      </w:r>
      <w:r w:rsidRPr="006F057C">
        <w:rPr>
          <w:rFonts w:ascii="Century Gothic" w:hAnsi="Century Gothic" w:cs="Arial"/>
          <w:color w:val="000000"/>
          <w:spacing w:val="-1"/>
          <w:lang w:val="es-ES_tradnl"/>
        </w:rPr>
        <w:t xml:space="preserve"> la Sentencia C-911 de 2007, en la cual se puntualizó que el impacto fiscal de las normas no puede convertirse en óbice, para que las corporaciones públicas ejerzan su </w:t>
      </w:r>
      <w:r w:rsidR="00D22C53">
        <w:rPr>
          <w:rFonts w:ascii="Century Gothic" w:hAnsi="Century Gothic" w:cs="Arial"/>
          <w:color w:val="000000"/>
          <w:spacing w:val="-1"/>
          <w:lang w:val="es-ES_tradnl"/>
        </w:rPr>
        <w:t>función legislativa y normativa.</w:t>
      </w:r>
      <w:r w:rsidRPr="006F057C">
        <w:rPr>
          <w:rFonts w:ascii="Century Gothic" w:hAnsi="Century Gothic" w:cs="Arial"/>
          <w:color w:val="000000"/>
          <w:spacing w:val="-1"/>
          <w:lang w:val="es-ES_tradnl"/>
        </w:rPr>
        <w:t xml:space="preserve"> </w:t>
      </w:r>
      <w:r w:rsidR="00D22C53">
        <w:rPr>
          <w:rFonts w:ascii="Century Gothic" w:hAnsi="Century Gothic" w:cs="Arial"/>
          <w:color w:val="000000"/>
          <w:spacing w:val="-1"/>
          <w:lang w:val="es-ES_tradnl"/>
        </w:rPr>
        <w:t>En tal virtud</w:t>
      </w:r>
      <w:r w:rsidRPr="006F057C">
        <w:rPr>
          <w:rFonts w:ascii="Century Gothic" w:hAnsi="Century Gothic" w:cs="Arial"/>
          <w:color w:val="000000"/>
          <w:spacing w:val="-1"/>
          <w:lang w:val="es-ES_tradnl"/>
        </w:rPr>
        <w:t xml:space="preserve"> señaló:</w:t>
      </w:r>
    </w:p>
    <w:p w14:paraId="6377BD91" w14:textId="77777777" w:rsidR="00D22C53" w:rsidRPr="009173F4" w:rsidRDefault="00D22C53" w:rsidP="009173F4">
      <w:pPr>
        <w:shd w:val="clear" w:color="auto" w:fill="FFFFFF"/>
        <w:adjustRightInd w:val="0"/>
        <w:spacing w:before="57" w:after="57" w:line="288" w:lineRule="auto"/>
        <w:jc w:val="both"/>
        <w:textAlignment w:val="center"/>
        <w:rPr>
          <w:rFonts w:ascii="Century Gothic" w:hAnsi="Century Gothic" w:cs="Arial"/>
          <w:color w:val="000000"/>
          <w:spacing w:val="-1"/>
          <w:lang w:val="es-ES_tradnl"/>
        </w:rPr>
      </w:pPr>
    </w:p>
    <w:p w14:paraId="668AD69D" w14:textId="1BCDF476" w:rsidR="006F057C" w:rsidRPr="006F057C" w:rsidRDefault="00D22C53" w:rsidP="006F057C">
      <w:pPr>
        <w:shd w:val="clear" w:color="auto" w:fill="FFFFFF"/>
        <w:adjustRightInd w:val="0"/>
        <w:spacing w:before="57" w:after="57" w:line="288" w:lineRule="auto"/>
        <w:ind w:left="283"/>
        <w:jc w:val="both"/>
        <w:textAlignment w:val="center"/>
        <w:rPr>
          <w:rFonts w:ascii="Century Gothic" w:hAnsi="Century Gothic" w:cs="Arial"/>
          <w:b/>
          <w:bCs/>
          <w:i/>
          <w:iCs/>
          <w:color w:val="000000"/>
          <w:spacing w:val="-1"/>
          <w:lang w:val="es-ES_tradnl"/>
        </w:rPr>
      </w:pPr>
      <w:r>
        <w:rPr>
          <w:rFonts w:ascii="Century Gothic" w:hAnsi="Century Gothic" w:cs="Arial"/>
          <w:i/>
          <w:iCs/>
          <w:color w:val="000000"/>
          <w:spacing w:val="-1"/>
          <w:lang w:val="es-ES_tradnl"/>
        </w:rPr>
        <w:t>“</w:t>
      </w:r>
      <w:r w:rsidR="006F057C" w:rsidRPr="006F057C">
        <w:rPr>
          <w:rFonts w:ascii="Century Gothic" w:hAnsi="Century Gothic" w:cs="Arial"/>
          <w:i/>
          <w:iCs/>
          <w:color w:val="000000"/>
          <w:spacing w:val="-1"/>
          <w:lang w:val="es-ES_tradnl"/>
        </w:rPr>
        <w:t xml:space="preserve">En la realidad, aceptar que las condiciones establecidas en el artículo 7° de la Ley 819 de 2003 </w:t>
      </w:r>
      <w:r w:rsidR="006F057C" w:rsidRPr="006F057C">
        <w:rPr>
          <w:rFonts w:ascii="Century Gothic" w:hAnsi="Century Gothic" w:cs="Arial"/>
          <w:b/>
          <w:bCs/>
          <w:i/>
          <w:iCs/>
          <w:color w:val="000000"/>
          <w:spacing w:val="-1"/>
          <w:lang w:val="es-ES_tradnl"/>
        </w:rPr>
        <w:t>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006F057C" w:rsidRPr="006F057C">
        <w:rPr>
          <w:rFonts w:ascii="Century Gothic" w:hAnsi="Century Gothic" w:cs="Arial"/>
          <w:b/>
          <w:bCs/>
          <w:color w:val="000000"/>
          <w:spacing w:val="-1"/>
          <w:lang w:val="es-ES_tradnl"/>
        </w:rPr>
        <w:t>.</w:t>
      </w:r>
    </w:p>
    <w:p w14:paraId="77582AC9" w14:textId="77777777" w:rsidR="006F057C" w:rsidRPr="006F057C" w:rsidRDefault="006F057C" w:rsidP="006F057C">
      <w:pPr>
        <w:shd w:val="clear" w:color="auto" w:fill="FFFFFF"/>
        <w:adjustRightInd w:val="0"/>
        <w:spacing w:before="57" w:after="57" w:line="288" w:lineRule="auto"/>
        <w:ind w:firstLine="283"/>
        <w:jc w:val="both"/>
        <w:textAlignment w:val="center"/>
        <w:rPr>
          <w:rFonts w:ascii="Century Gothic" w:hAnsi="Century Gothic" w:cs="Arial"/>
          <w:b/>
          <w:bCs/>
          <w:i/>
          <w:iCs/>
          <w:color w:val="000000"/>
          <w:spacing w:val="-1"/>
          <w:lang w:val="es-ES_tradnl"/>
        </w:rPr>
      </w:pPr>
    </w:p>
    <w:p w14:paraId="0C6E547D" w14:textId="77777777" w:rsidR="006F057C" w:rsidRPr="006F057C" w:rsidRDefault="006F057C" w:rsidP="006F057C">
      <w:pPr>
        <w:shd w:val="clear" w:color="auto" w:fill="FFFFFF"/>
        <w:adjustRightInd w:val="0"/>
        <w:spacing w:before="57" w:after="57" w:line="288" w:lineRule="auto"/>
        <w:ind w:left="283"/>
        <w:jc w:val="both"/>
        <w:textAlignment w:val="center"/>
        <w:rPr>
          <w:rFonts w:ascii="Century Gothic" w:eastAsia="Times New Roman" w:hAnsi="Century Gothic" w:cs="Arial"/>
          <w:color w:val="000000"/>
          <w:lang w:eastAsia="es-CO"/>
        </w:rPr>
      </w:pPr>
      <w:r w:rsidRPr="006F057C">
        <w:rPr>
          <w:rFonts w:ascii="Century Gothic" w:hAnsi="Century Gothic" w:cs="Arial"/>
          <w:b/>
          <w:bCs/>
          <w:i/>
          <w:iCs/>
          <w:color w:val="000000"/>
          <w:spacing w:val="-1"/>
          <w:lang w:val="es-ES_tradnl"/>
        </w:rPr>
        <w:t>Precisamente, los obstáculos casi insuperables que se generarían para la actividad legislativa del Congreso de la República conducirían a concederle una forma de poder de veto al Ministro de Hacienda sobre las iniciativas de ley en el Parlamento.</w:t>
      </w:r>
    </w:p>
    <w:p w14:paraId="7FABEF70" w14:textId="77777777" w:rsidR="006F057C" w:rsidRPr="006F057C" w:rsidRDefault="006F057C" w:rsidP="006F057C">
      <w:pPr>
        <w:shd w:val="clear" w:color="auto" w:fill="FFFFFF"/>
        <w:adjustRightInd w:val="0"/>
        <w:spacing w:before="57" w:after="57" w:line="288" w:lineRule="auto"/>
        <w:ind w:firstLine="283"/>
        <w:jc w:val="both"/>
        <w:textAlignment w:val="center"/>
        <w:rPr>
          <w:rFonts w:ascii="Century Gothic" w:hAnsi="Century Gothic" w:cs="Arial"/>
          <w:i/>
          <w:iCs/>
          <w:color w:val="000000"/>
          <w:spacing w:val="-1"/>
          <w:lang w:val="es-ES_tradnl"/>
        </w:rPr>
      </w:pPr>
    </w:p>
    <w:p w14:paraId="020D8617" w14:textId="47280A2A" w:rsidR="006F057C" w:rsidRPr="006F057C" w:rsidRDefault="006F057C" w:rsidP="006F057C">
      <w:pPr>
        <w:shd w:val="clear" w:color="auto" w:fill="FFFFFF"/>
        <w:adjustRightInd w:val="0"/>
        <w:spacing w:before="57" w:after="57" w:line="288" w:lineRule="auto"/>
        <w:ind w:left="283"/>
        <w:jc w:val="both"/>
        <w:textAlignment w:val="center"/>
        <w:rPr>
          <w:rFonts w:ascii="Century Gothic" w:hAnsi="Century Gothic" w:cs="Arial"/>
          <w:b/>
          <w:bCs/>
          <w:i/>
          <w:iCs/>
          <w:color w:val="000000"/>
          <w:spacing w:val="-1"/>
          <w:u w:val="single"/>
          <w:lang w:val="es-ES_tradnl"/>
        </w:rPr>
      </w:pPr>
      <w:r w:rsidRPr="006F057C">
        <w:rPr>
          <w:rFonts w:ascii="Century Gothic" w:hAnsi="Century Gothic" w:cs="Arial"/>
          <w:i/>
          <w:iCs/>
          <w:color w:val="000000"/>
          <w:spacing w:val="-1"/>
          <w:lang w:val="es-ES_tradnl"/>
        </w:rPr>
        <w:lastRenderedPageBreak/>
        <w:t xml:space="preserve">Es decir, el mencionado artículo debe interpretarse en el sentido de que su fin es obtener que las leyes que se dicten tengan en cuenta las realidades macroeconómicas, pero </w:t>
      </w:r>
      <w:r w:rsidRPr="006F057C">
        <w:rPr>
          <w:rFonts w:ascii="Century Gothic" w:hAnsi="Century Gothic" w:cs="Arial"/>
          <w:b/>
          <w:bCs/>
          <w:i/>
          <w:iCs/>
          <w:color w:val="000000"/>
          <w:spacing w:val="-1"/>
          <w:u w:val="single" w:color="000000"/>
          <w:lang w:val="es-ES_tradnl"/>
        </w:rPr>
        <w:t>sin crear barreras insalvables en el ejercicio de la</w:t>
      </w:r>
      <w:r w:rsidRPr="006F057C">
        <w:rPr>
          <w:rFonts w:ascii="Century Gothic" w:hAnsi="Century Gothic" w:cs="Arial"/>
          <w:b/>
          <w:bCs/>
          <w:i/>
          <w:iCs/>
          <w:color w:val="000000"/>
          <w:spacing w:val="-1"/>
          <w:u w:val="single"/>
          <w:lang w:val="es-ES_tradnl"/>
        </w:rPr>
        <w:t xml:space="preserve"> función legislativa ni crear un poder de veto legislativo en cabeza del Ministro de Hacienda</w:t>
      </w:r>
      <w:r>
        <w:rPr>
          <w:rFonts w:ascii="Century Gothic" w:hAnsi="Century Gothic" w:cs="Arial"/>
          <w:b/>
          <w:bCs/>
          <w:i/>
          <w:iCs/>
          <w:color w:val="000000"/>
          <w:spacing w:val="-1"/>
          <w:u w:val="single"/>
          <w:lang w:val="es-ES_tradnl"/>
        </w:rPr>
        <w:t>”</w:t>
      </w:r>
      <w:r w:rsidRPr="006F057C">
        <w:rPr>
          <w:rFonts w:ascii="Century Gothic" w:hAnsi="Century Gothic" w:cs="Arial"/>
          <w:color w:val="000000"/>
          <w:spacing w:val="-1"/>
          <w:lang w:val="es-ES_tradnl"/>
        </w:rPr>
        <w:t xml:space="preserve"> </w:t>
      </w:r>
      <w:r>
        <w:rPr>
          <w:rFonts w:ascii="Century Gothic" w:hAnsi="Century Gothic" w:cs="Arial"/>
          <w:color w:val="000000"/>
          <w:spacing w:val="-1"/>
          <w:lang w:val="es-ES_tradnl"/>
        </w:rPr>
        <w:t>(</w:t>
      </w:r>
      <w:r w:rsidRPr="006F057C">
        <w:rPr>
          <w:rFonts w:ascii="Century Gothic" w:hAnsi="Century Gothic" w:cs="Arial"/>
          <w:color w:val="000000"/>
          <w:spacing w:val="-1"/>
          <w:lang w:val="es-ES_tradnl"/>
        </w:rPr>
        <w:t>Sentencia C-911 de 2007</w:t>
      </w:r>
      <w:r>
        <w:rPr>
          <w:rFonts w:ascii="Century Gothic" w:hAnsi="Century Gothic" w:cs="Arial"/>
          <w:color w:val="000000"/>
          <w:spacing w:val="-1"/>
          <w:lang w:val="es-ES_tradnl"/>
        </w:rPr>
        <w:t>)</w:t>
      </w:r>
      <w:r w:rsidRPr="006F057C">
        <w:rPr>
          <w:rFonts w:ascii="Century Gothic" w:hAnsi="Century Gothic" w:cs="Arial"/>
          <w:bCs/>
          <w:i/>
          <w:iCs/>
          <w:color w:val="000000"/>
          <w:spacing w:val="-1"/>
          <w:lang w:val="es-ES_tradnl"/>
        </w:rPr>
        <w:t>.</w:t>
      </w:r>
    </w:p>
    <w:p w14:paraId="3665E55B" w14:textId="77777777" w:rsidR="006F057C" w:rsidRPr="006F057C" w:rsidRDefault="006F057C" w:rsidP="00250012">
      <w:pPr>
        <w:jc w:val="both"/>
        <w:rPr>
          <w:rFonts w:ascii="Century Gothic" w:hAnsi="Century Gothic" w:cs="Arial"/>
        </w:rPr>
      </w:pPr>
    </w:p>
    <w:p w14:paraId="0344983A" w14:textId="77777777" w:rsidR="0087269A" w:rsidRPr="009173F4" w:rsidRDefault="0087269A" w:rsidP="009173F4">
      <w:pPr>
        <w:jc w:val="both"/>
        <w:rPr>
          <w:rFonts w:ascii="Century Gothic" w:hAnsi="Century Gothic" w:cs="Arial"/>
        </w:rPr>
      </w:pPr>
    </w:p>
    <w:p w14:paraId="7D144B7A" w14:textId="77777777" w:rsidR="000E7CC2" w:rsidRDefault="006F057C" w:rsidP="007A2386">
      <w:pPr>
        <w:pStyle w:val="Prrafodelista"/>
        <w:numPr>
          <w:ilvl w:val="0"/>
          <w:numId w:val="5"/>
        </w:numPr>
        <w:rPr>
          <w:rFonts w:ascii="Century Gothic" w:hAnsi="Century Gothic" w:cs="Arial"/>
          <w:b/>
        </w:rPr>
      </w:pPr>
      <w:r>
        <w:rPr>
          <w:rFonts w:ascii="Century Gothic" w:hAnsi="Century Gothic" w:cs="Arial"/>
          <w:b/>
        </w:rPr>
        <w:t xml:space="preserve">Conflicto de intereses. </w:t>
      </w:r>
    </w:p>
    <w:p w14:paraId="278D6171" w14:textId="77777777" w:rsidR="000E7CC2" w:rsidRDefault="000E7CC2" w:rsidP="000E7CC2">
      <w:pPr>
        <w:rPr>
          <w:rFonts w:ascii="Century Gothic" w:hAnsi="Century Gothic" w:cs="Arial"/>
          <w:b/>
        </w:rPr>
      </w:pPr>
    </w:p>
    <w:p w14:paraId="75DFFA46" w14:textId="77777777" w:rsidR="000E7CC2" w:rsidRDefault="000E7CC2" w:rsidP="000E7CC2">
      <w:pPr>
        <w:rPr>
          <w:rFonts w:ascii="Century Gothic" w:hAnsi="Century Gothic" w:cs="Arial"/>
          <w:b/>
        </w:rPr>
      </w:pPr>
    </w:p>
    <w:p w14:paraId="2C91418C" w14:textId="3DE4A2A3"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sidR="00FF2316">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sidR="00141395">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5B8C63E9" w14:textId="77777777" w:rsidR="000E7CC2" w:rsidRPr="000E7CC2" w:rsidRDefault="000E7CC2" w:rsidP="000E7CC2">
      <w:pPr>
        <w:autoSpaceDE w:val="0"/>
        <w:autoSpaceDN w:val="0"/>
        <w:adjustRightInd w:val="0"/>
        <w:spacing w:line="276" w:lineRule="auto"/>
        <w:jc w:val="both"/>
        <w:rPr>
          <w:rFonts w:ascii="Century Gothic" w:hAnsi="Century Gothic" w:cs="Arial"/>
          <w:bCs/>
          <w:shd w:val="clear" w:color="auto" w:fill="FFFFFF"/>
        </w:rPr>
      </w:pPr>
    </w:p>
    <w:p w14:paraId="33E1C97F"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77FBDD88"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46EA6CA"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4015AF0"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30A94E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007674"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44CD340E"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lastRenderedPageBreak/>
        <w:t>Beneficio actual: aquel que efectivamente se configura en las circunstancias presentes y existentes al momento en el que el congresista participa de la decisión. </w:t>
      </w:r>
    </w:p>
    <w:p w14:paraId="0F52D6EE"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780C13C4" w14:textId="77777777" w:rsidR="000E7CC2" w:rsidRPr="000E7CC2" w:rsidRDefault="000E7CC2" w:rsidP="000E7CC2">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025F45F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p>
    <w:p w14:paraId="1C0B964E" w14:textId="77777777" w:rsidR="000E7CC2" w:rsidRPr="000E7CC2" w:rsidRDefault="000E7CC2" w:rsidP="000E7CC2">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03920110" w14:textId="77777777" w:rsidR="000E7CC2" w:rsidRPr="000E7CC2" w:rsidRDefault="000E7CC2" w:rsidP="000E7CC2">
      <w:pPr>
        <w:spacing w:line="276" w:lineRule="auto"/>
        <w:jc w:val="both"/>
        <w:rPr>
          <w:rFonts w:ascii="Century Gothic" w:hAnsi="Century Gothic" w:cs="Arial"/>
          <w:bCs/>
          <w:shd w:val="clear" w:color="auto" w:fill="FFFFFF"/>
        </w:rPr>
      </w:pPr>
    </w:p>
    <w:p w14:paraId="133F7B50" w14:textId="77777777" w:rsidR="000E7CC2" w:rsidRP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056A5DE5" w14:textId="77777777" w:rsidR="000E7CC2" w:rsidRPr="000E7CC2" w:rsidRDefault="000E7CC2" w:rsidP="000E7CC2">
      <w:pPr>
        <w:spacing w:line="276" w:lineRule="auto"/>
        <w:jc w:val="both"/>
        <w:rPr>
          <w:rFonts w:ascii="Century Gothic" w:hAnsi="Century Gothic" w:cs="Arial"/>
          <w:bCs/>
          <w:shd w:val="clear" w:color="auto" w:fill="FFFFFF"/>
        </w:rPr>
      </w:pPr>
    </w:p>
    <w:p w14:paraId="5CA0C5A6" w14:textId="77777777" w:rsidR="000E7CC2" w:rsidRPr="000E7CC2" w:rsidRDefault="000E7CC2" w:rsidP="000E7CC2">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CB58A2" w14:textId="77777777" w:rsidR="000E7CC2" w:rsidRPr="000E7CC2" w:rsidRDefault="000E7CC2" w:rsidP="000E7CC2">
      <w:pPr>
        <w:spacing w:line="276" w:lineRule="auto"/>
        <w:jc w:val="both"/>
        <w:rPr>
          <w:rFonts w:ascii="Century Gothic" w:hAnsi="Century Gothic" w:cs="Arial"/>
          <w:bCs/>
          <w:shd w:val="clear" w:color="auto" w:fill="FFFFFF"/>
        </w:rPr>
      </w:pPr>
    </w:p>
    <w:p w14:paraId="7A1404D5" w14:textId="28D56E01" w:rsidR="000E7CC2" w:rsidRP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sidR="00C82E26">
        <w:rPr>
          <w:rFonts w:ascii="Century Gothic" w:hAnsi="Century Gothic" w:cs="Arial"/>
          <w:bCs/>
          <w:shd w:val="clear" w:color="auto" w:fill="FFFFFF"/>
        </w:rPr>
        <w:t xml:space="preserve">Ley </w:t>
      </w:r>
      <w:r w:rsidRPr="000E7CC2">
        <w:rPr>
          <w:rFonts w:ascii="Century Gothic" w:hAnsi="Century Gothic" w:cs="Arial"/>
          <w:bCs/>
          <w:shd w:val="clear" w:color="auto" w:fill="FFFFFF"/>
        </w:rPr>
        <w:t xml:space="preserve">podría </w:t>
      </w:r>
      <w:r w:rsidR="00141395">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sidR="00141395">
        <w:rPr>
          <w:rFonts w:ascii="Century Gothic" w:hAnsi="Century Gothic" w:cs="Arial"/>
          <w:bCs/>
          <w:shd w:val="clear" w:color="auto" w:fill="FFFFFF"/>
        </w:rPr>
        <w:t xml:space="preserve">cuando quiera que </w:t>
      </w:r>
      <w:r w:rsidR="00C82E26">
        <w:rPr>
          <w:rFonts w:ascii="Century Gothic" w:hAnsi="Century Gothic" w:cs="Arial"/>
          <w:bCs/>
          <w:shd w:val="clear" w:color="auto" w:fill="FFFFFF"/>
        </w:rPr>
        <w:t xml:space="preserve">el congresista o </w:t>
      </w:r>
      <w:r w:rsidR="00141395">
        <w:rPr>
          <w:rFonts w:ascii="Century Gothic" w:hAnsi="Century Gothic" w:cs="Arial"/>
          <w:bCs/>
          <w:shd w:val="clear" w:color="auto" w:fill="FFFFFF"/>
        </w:rPr>
        <w:t xml:space="preserve">pariente </w:t>
      </w:r>
      <w:r w:rsidR="00C82E26">
        <w:rPr>
          <w:rFonts w:ascii="Century Gothic" w:hAnsi="Century Gothic" w:cs="Arial"/>
          <w:bCs/>
          <w:shd w:val="clear" w:color="auto" w:fill="FFFFFF"/>
        </w:rPr>
        <w:t xml:space="preserve">dentro de los grados de ley esté siendo investigado por las </w:t>
      </w:r>
      <w:r w:rsidR="00C82E26" w:rsidRPr="00C82E26">
        <w:rPr>
          <w:rFonts w:ascii="Century Gothic" w:hAnsi="Century Gothic" w:cs="Arial"/>
          <w:bCs/>
          <w:shd w:val="clear" w:color="auto" w:fill="FFFFFF"/>
        </w:rPr>
        <w:t xml:space="preserve">conductas punibles de homicidio o de delitos contra la libertad, integridad y formación sexual, perpetrados contra menores de </w:t>
      </w:r>
      <w:r w:rsidR="00C82E26">
        <w:rPr>
          <w:rFonts w:ascii="Century Gothic" w:hAnsi="Century Gothic" w:cs="Arial"/>
          <w:bCs/>
          <w:shd w:val="clear" w:color="auto" w:fill="FFFFFF"/>
        </w:rPr>
        <w:t>edad.</w:t>
      </w:r>
    </w:p>
    <w:p w14:paraId="6D0A523E" w14:textId="77777777" w:rsidR="000E7CC2" w:rsidRPr="000E7CC2" w:rsidRDefault="000E7CC2" w:rsidP="000E7CC2">
      <w:pPr>
        <w:spacing w:line="276" w:lineRule="auto"/>
        <w:jc w:val="both"/>
        <w:rPr>
          <w:rFonts w:ascii="Century Gothic" w:hAnsi="Century Gothic" w:cs="Arial"/>
          <w:bCs/>
          <w:shd w:val="clear" w:color="auto" w:fill="FFFFFF"/>
        </w:rPr>
      </w:pPr>
    </w:p>
    <w:p w14:paraId="4001FFE5" w14:textId="2ADC7E4F" w:rsidR="000E7CC2" w:rsidRDefault="000E7CC2" w:rsidP="000E7CC2">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lastRenderedPageBreak/>
        <w:t xml:space="preserve">Es menester </w:t>
      </w:r>
      <w:r w:rsidR="006C358C">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sidR="006C358C">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02D03436" w14:textId="77777777" w:rsidR="006C358C" w:rsidRDefault="006C358C" w:rsidP="000E7CC2">
      <w:pPr>
        <w:spacing w:line="276" w:lineRule="auto"/>
        <w:jc w:val="both"/>
        <w:rPr>
          <w:rFonts w:ascii="Century Gothic" w:hAnsi="Century Gothic" w:cs="Arial"/>
          <w:bCs/>
          <w:shd w:val="clear" w:color="auto" w:fill="FFFFFF"/>
        </w:rPr>
      </w:pPr>
    </w:p>
    <w:p w14:paraId="086FBE88" w14:textId="77777777" w:rsidR="006C358C" w:rsidRDefault="006C358C" w:rsidP="000E7CC2">
      <w:pPr>
        <w:spacing w:line="276" w:lineRule="auto"/>
        <w:jc w:val="both"/>
        <w:rPr>
          <w:rFonts w:ascii="Century Gothic" w:hAnsi="Century Gothic" w:cs="Arial"/>
          <w:bCs/>
          <w:shd w:val="clear" w:color="auto" w:fill="FFFFFF"/>
        </w:rPr>
      </w:pPr>
    </w:p>
    <w:p w14:paraId="7990AB61" w14:textId="620C54D5" w:rsidR="00B67CE2" w:rsidRPr="006C358C" w:rsidRDefault="006C358C" w:rsidP="000E7CC2">
      <w:pPr>
        <w:pStyle w:val="Prrafodelista"/>
        <w:numPr>
          <w:ilvl w:val="0"/>
          <w:numId w:val="5"/>
        </w:numPr>
        <w:spacing w:line="276" w:lineRule="auto"/>
        <w:jc w:val="both"/>
        <w:rPr>
          <w:rFonts w:ascii="Century Gothic" w:hAnsi="Century Gothic" w:cs="Arial"/>
          <w:b/>
          <w:bCs/>
          <w:shd w:val="clear" w:color="auto" w:fill="FFFFFF"/>
        </w:rPr>
      </w:pPr>
      <w:r w:rsidRPr="006C358C">
        <w:rPr>
          <w:rFonts w:ascii="Century Gothic" w:hAnsi="Century Gothic" w:cs="Arial"/>
          <w:b/>
          <w:bCs/>
          <w:shd w:val="clear" w:color="auto" w:fill="FFFFFF"/>
        </w:rPr>
        <w:t xml:space="preserve">Pliego de modificaciones. </w:t>
      </w:r>
    </w:p>
    <w:p w14:paraId="5EDCD039" w14:textId="77777777" w:rsidR="0072025D" w:rsidRDefault="0072025D" w:rsidP="00C82E26">
      <w:pPr>
        <w:ind w:left="360"/>
        <w:rPr>
          <w:rFonts w:ascii="Century Gothic" w:hAnsi="Century Gothic" w:cs="Arial"/>
          <w:b/>
        </w:rPr>
      </w:pPr>
    </w:p>
    <w:p w14:paraId="109D10C4" w14:textId="6F88DBD5" w:rsidR="00C82E26" w:rsidRPr="00C82E26" w:rsidRDefault="00C82E26" w:rsidP="00C82E26">
      <w:pPr>
        <w:jc w:val="both"/>
        <w:rPr>
          <w:rFonts w:ascii="Century Gothic" w:hAnsi="Century Gothic" w:cs="Arial"/>
        </w:rPr>
      </w:pPr>
      <w:r w:rsidRPr="00C82E26">
        <w:rPr>
          <w:rFonts w:ascii="Century Gothic" w:hAnsi="Century Gothic" w:cs="Arial"/>
        </w:rPr>
        <w:t xml:space="preserve">Por reunir el consenso entre los ponentes firmantes, se decide presentar la ponencia en los mismos términos del proyecto inicialmente radicado. </w:t>
      </w:r>
    </w:p>
    <w:p w14:paraId="5B1A056E" w14:textId="77777777" w:rsidR="00B67CE2" w:rsidRDefault="00B67CE2" w:rsidP="00C14269">
      <w:pPr>
        <w:rPr>
          <w:rFonts w:ascii="Century Gothic" w:hAnsi="Century Gothic" w:cs="Arial"/>
          <w:b/>
        </w:rPr>
      </w:pPr>
    </w:p>
    <w:p w14:paraId="413688BB" w14:textId="77777777" w:rsidR="006C358C" w:rsidRDefault="006C358C" w:rsidP="00C14269">
      <w:pPr>
        <w:rPr>
          <w:rFonts w:ascii="Century Gothic" w:hAnsi="Century Gothic" w:cs="Arial"/>
          <w:b/>
        </w:rPr>
      </w:pPr>
    </w:p>
    <w:p w14:paraId="6376C116" w14:textId="77777777" w:rsidR="009173F4" w:rsidRPr="008B5447" w:rsidRDefault="009173F4" w:rsidP="00C14269">
      <w:pPr>
        <w:rPr>
          <w:rFonts w:ascii="Century Gothic" w:hAnsi="Century Gothic" w:cs="Arial"/>
          <w:b/>
        </w:rPr>
      </w:pPr>
    </w:p>
    <w:p w14:paraId="104F4287" w14:textId="77777777"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66A3B937" w14:textId="1EEBEFF3" w:rsidR="00C82E26" w:rsidRDefault="004403FE" w:rsidP="00C82E26">
      <w:pPr>
        <w:pStyle w:val="Default"/>
        <w:jc w:val="both"/>
        <w:rPr>
          <w:rFonts w:ascii="Arial" w:hAnsi="Arial" w:cs="Arial"/>
          <w:b/>
          <w:i/>
          <w:color w:val="auto"/>
        </w:rPr>
      </w:pPr>
      <w:r w:rsidRPr="008B5447">
        <w:rPr>
          <w:rFonts w:ascii="Century Gothic" w:hAnsi="Century Gothic" w:cs="Arial"/>
        </w:rPr>
        <w:t>En virtud de las consideraciones anteriormente expuestas, solicit</w:t>
      </w:r>
      <w:r w:rsidR="00C82E26">
        <w:rPr>
          <w:rFonts w:ascii="Century Gothic" w:hAnsi="Century Gothic" w:cs="Arial"/>
        </w:rPr>
        <w:t>amos</w:t>
      </w:r>
      <w:r w:rsidRPr="008B5447">
        <w:rPr>
          <w:rFonts w:ascii="Century Gothic" w:hAnsi="Century Gothic" w:cs="Arial"/>
        </w:rPr>
        <w:t xml:space="preserve"> a los </w:t>
      </w:r>
      <w:r w:rsidR="007E09CB">
        <w:rPr>
          <w:rFonts w:ascii="Century Gothic" w:hAnsi="Century Gothic" w:cs="Arial"/>
        </w:rPr>
        <w:t xml:space="preserve">Honorables </w:t>
      </w:r>
      <w:r w:rsidRPr="008B5447">
        <w:rPr>
          <w:rFonts w:ascii="Century Gothic" w:hAnsi="Century Gothic" w:cs="Arial"/>
        </w:rPr>
        <w:t xml:space="preserve">miembros de la Comisión Primera Constitucional de la Cámara de Representantes dar primer debate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C82E26">
        <w:rPr>
          <w:rFonts w:ascii="Century Gothic" w:hAnsi="Century Gothic" w:cs="Arial"/>
        </w:rPr>
        <w:t>124</w:t>
      </w:r>
      <w:r w:rsidR="000A26EE" w:rsidRPr="008B5447">
        <w:rPr>
          <w:rFonts w:ascii="Century Gothic" w:hAnsi="Century Gothic" w:cs="Arial"/>
        </w:rPr>
        <w:t xml:space="preserve"> de 2020 Cámara </w:t>
      </w:r>
      <w:r w:rsidR="00C82E26" w:rsidRPr="00E80FF5">
        <w:rPr>
          <w:rFonts w:ascii="Century Gothic" w:eastAsia="Times New Roman" w:hAnsi="Century Gothic" w:cs="Arial"/>
          <w:bCs/>
          <w:i/>
          <w:lang w:eastAsia="es-CO"/>
        </w:rPr>
        <w:t>“Por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delitos de alto impacto cometidos contra la infancia y la adolescencia, y se dictan otras disposiciones</w:t>
      </w:r>
      <w:r w:rsidR="00C82E26">
        <w:rPr>
          <w:rFonts w:ascii="Century Gothic" w:eastAsia="Times New Roman" w:hAnsi="Century Gothic" w:cs="Arial"/>
          <w:bCs/>
          <w:i/>
          <w:lang w:eastAsia="es-CO"/>
        </w:rPr>
        <w:t xml:space="preserve">”, </w:t>
      </w:r>
      <w:r w:rsidR="00C82E26" w:rsidRPr="00C82E26">
        <w:rPr>
          <w:rFonts w:ascii="Century Gothic" w:eastAsia="Times New Roman" w:hAnsi="Century Gothic" w:cs="Arial"/>
          <w:bCs/>
          <w:lang w:eastAsia="es-CO"/>
        </w:rPr>
        <w:t>en los mismos términos del proyecto original.</w:t>
      </w:r>
      <w:r w:rsidR="00C82E26">
        <w:rPr>
          <w:rFonts w:ascii="Century Gothic" w:eastAsia="Times New Roman" w:hAnsi="Century Gothic" w:cs="Arial"/>
          <w:bCs/>
          <w:i/>
          <w:lang w:eastAsia="es-CO"/>
        </w:rPr>
        <w:t xml:space="preserve"> </w:t>
      </w:r>
    </w:p>
    <w:p w14:paraId="23A3CE51" w14:textId="035B74FD" w:rsidR="000A26EE" w:rsidRPr="009173F4" w:rsidRDefault="000A26EE" w:rsidP="007E09CB">
      <w:pPr>
        <w:spacing w:line="276" w:lineRule="auto"/>
        <w:jc w:val="both"/>
        <w:rPr>
          <w:rFonts w:ascii="Century Gothic" w:eastAsia="Times New Roman" w:hAnsi="Century Gothic" w:cs="Arial"/>
          <w:bCs/>
          <w:lang w:eastAsia="es-CO"/>
        </w:rPr>
      </w:pPr>
    </w:p>
    <w:p w14:paraId="69576860" w14:textId="0DB1454F" w:rsidR="008B5447" w:rsidRPr="008B5447" w:rsidRDefault="008B5447" w:rsidP="008B5447">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37B73" w:rsidRPr="008B5447" w14:paraId="2DCC174B" w14:textId="77777777" w:rsidTr="00237B73">
        <w:trPr>
          <w:trHeight w:val="1385"/>
        </w:trPr>
        <w:tc>
          <w:tcPr>
            <w:tcW w:w="4535" w:type="dxa"/>
          </w:tcPr>
          <w:p w14:paraId="7761D824" w14:textId="6186DBF6" w:rsidR="00237B73" w:rsidRDefault="00237B73" w:rsidP="003940B4">
            <w:pPr>
              <w:jc w:val="center"/>
              <w:rPr>
                <w:rFonts w:ascii="Century Gothic" w:hAnsi="Century Gothic" w:cs="Arial"/>
                <w:b/>
              </w:rPr>
            </w:pPr>
          </w:p>
          <w:p w14:paraId="7FADE7FE" w14:textId="6A15F766" w:rsidR="00237B73" w:rsidRDefault="00237B73" w:rsidP="003940B4">
            <w:pPr>
              <w:rPr>
                <w:rFonts w:ascii="Century Gothic" w:hAnsi="Century Gothic" w:cs="Arial"/>
                <w:b/>
              </w:rPr>
            </w:pPr>
          </w:p>
          <w:p w14:paraId="4DA9F27C" w14:textId="187B489A" w:rsidR="00237B73" w:rsidRPr="008B5447" w:rsidRDefault="00237B73" w:rsidP="003940B4">
            <w:pPr>
              <w:rPr>
                <w:rFonts w:ascii="Century Gothic" w:hAnsi="Century Gothic" w:cs="Arial"/>
                <w:b/>
              </w:rPr>
            </w:pPr>
          </w:p>
          <w:p w14:paraId="0BC85897" w14:textId="77777777" w:rsidR="00237B73" w:rsidRPr="008B5447" w:rsidRDefault="00237B73" w:rsidP="003940B4">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1FFB4EA8" w14:textId="77777777" w:rsidR="00237B73" w:rsidRDefault="00237B73" w:rsidP="003940B4">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p>
          <w:p w14:paraId="719B8BA9" w14:textId="159017D4" w:rsidR="00237B73" w:rsidRDefault="00237B73" w:rsidP="000A26EE">
            <w:pPr>
              <w:rPr>
                <w:noProof/>
                <w:lang w:val="es-ES"/>
              </w:rPr>
            </w:pPr>
            <w:r>
              <w:rPr>
                <w:rFonts w:ascii="Century Gothic" w:hAnsi="Century Gothic" w:cs="Arial"/>
                <w:bCs/>
              </w:rPr>
              <w:t xml:space="preserve">              </w:t>
            </w:r>
            <w:r w:rsidRPr="00BE754E">
              <w:rPr>
                <w:rFonts w:ascii="Century Gothic" w:hAnsi="Century Gothic" w:cs="Arial"/>
                <w:bCs/>
              </w:rPr>
              <w:t>Ponente Coordinador</w:t>
            </w:r>
          </w:p>
        </w:tc>
        <w:tc>
          <w:tcPr>
            <w:tcW w:w="4535" w:type="dxa"/>
          </w:tcPr>
          <w:p w14:paraId="70700F38" w14:textId="1CFFDA18" w:rsidR="00237B73" w:rsidRDefault="00237B73" w:rsidP="003940B4">
            <w:pPr>
              <w:rPr>
                <w:rFonts w:ascii="Century Gothic" w:hAnsi="Century Gothic" w:cs="Arial"/>
                <w:bCs/>
                <w:color w:val="000000"/>
                <w:bdr w:val="none" w:sz="0" w:space="0" w:color="auto" w:frame="1"/>
                <w:shd w:val="clear" w:color="auto" w:fill="FFFFFF"/>
              </w:rPr>
            </w:pPr>
          </w:p>
          <w:p w14:paraId="1604D78D" w14:textId="16390079" w:rsidR="00237B73" w:rsidRDefault="00237B73" w:rsidP="003940B4">
            <w:pPr>
              <w:rPr>
                <w:rFonts w:ascii="Century Gothic" w:hAnsi="Century Gothic" w:cs="Arial"/>
                <w:bCs/>
                <w:color w:val="000000"/>
                <w:bdr w:val="none" w:sz="0" w:space="0" w:color="auto" w:frame="1"/>
                <w:shd w:val="clear" w:color="auto" w:fill="FFFFFF"/>
              </w:rPr>
            </w:pPr>
          </w:p>
          <w:p w14:paraId="52CDE79B" w14:textId="77777777" w:rsidR="00237B73" w:rsidRDefault="00237B73" w:rsidP="003940B4">
            <w:pPr>
              <w:rPr>
                <w:rFonts w:ascii="Century Gothic" w:hAnsi="Century Gothic" w:cs="Arial"/>
                <w:bCs/>
                <w:color w:val="000000"/>
                <w:bdr w:val="none" w:sz="0" w:space="0" w:color="auto" w:frame="1"/>
                <w:shd w:val="clear" w:color="auto" w:fill="FFFFFF"/>
              </w:rPr>
            </w:pPr>
          </w:p>
          <w:p w14:paraId="403B05AB"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33553B3A" w14:textId="77777777" w:rsidR="00237B73" w:rsidRPr="008B5447" w:rsidRDefault="00237B73" w:rsidP="003940B4">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 xml:space="preserve"> ERWIN ARIAS BETANCUR</w:t>
            </w:r>
            <w:r w:rsidRPr="008B5447">
              <w:rPr>
                <w:rFonts w:ascii="Century Gothic" w:hAnsi="Century Gothic" w:cs="Arial"/>
                <w:b/>
                <w:color w:val="000000"/>
                <w:bdr w:val="none" w:sz="0" w:space="0" w:color="auto" w:frame="1"/>
                <w:shd w:val="clear" w:color="auto" w:fill="FFFFFF"/>
              </w:rPr>
              <w:t xml:space="preserve"> </w:t>
            </w:r>
          </w:p>
          <w:p w14:paraId="558F8CC5" w14:textId="67CDEC32" w:rsidR="00237B73" w:rsidRPr="00BE754E" w:rsidRDefault="00237B73" w:rsidP="00FC6658">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bl>
    <w:p w14:paraId="02AD6C22" w14:textId="77777777" w:rsidR="00261F1C" w:rsidRDefault="00261F1C" w:rsidP="00C14269">
      <w:pPr>
        <w:rPr>
          <w:rFonts w:ascii="Century Gothic" w:hAnsi="Century Gothic" w:cs="Arial"/>
        </w:rPr>
      </w:pPr>
    </w:p>
    <w:p w14:paraId="53618567" w14:textId="77777777" w:rsidR="00261F1C" w:rsidRDefault="00261F1C" w:rsidP="00C14269">
      <w:pPr>
        <w:rPr>
          <w:rFonts w:ascii="Century Gothic" w:hAnsi="Century Gothic" w:cs="Arial"/>
        </w:rPr>
      </w:pPr>
    </w:p>
    <w:p w14:paraId="1181C570" w14:textId="77777777" w:rsidR="00C82E26" w:rsidRDefault="00C82E26" w:rsidP="00C14269">
      <w:pPr>
        <w:rPr>
          <w:rFonts w:ascii="Century Gothic" w:hAnsi="Century Gothic" w:cs="Arial"/>
        </w:rPr>
      </w:pPr>
    </w:p>
    <w:p w14:paraId="30FCFE64" w14:textId="77777777" w:rsidR="00C82E26" w:rsidRDefault="00C82E26" w:rsidP="00C14269">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37B73" w:rsidRPr="008B5447" w14:paraId="164EBC07" w14:textId="77777777" w:rsidTr="003940B4">
        <w:trPr>
          <w:trHeight w:val="615"/>
        </w:trPr>
        <w:tc>
          <w:tcPr>
            <w:tcW w:w="4535" w:type="dxa"/>
          </w:tcPr>
          <w:p w14:paraId="1161C6BC" w14:textId="77777777" w:rsidR="00237B73" w:rsidRDefault="00237B73" w:rsidP="003940B4">
            <w:pPr>
              <w:jc w:val="center"/>
              <w:rPr>
                <w:rFonts w:ascii="Century Gothic" w:hAnsi="Century Gothic" w:cs="Arial"/>
                <w:bCs/>
                <w:color w:val="000000"/>
                <w:bdr w:val="none" w:sz="0" w:space="0" w:color="auto" w:frame="1"/>
                <w:shd w:val="clear" w:color="auto" w:fill="FFFFFF"/>
              </w:rPr>
            </w:pPr>
          </w:p>
          <w:p w14:paraId="6F11E573" w14:textId="77777777" w:rsidR="00237B73" w:rsidRDefault="00237B73" w:rsidP="003940B4">
            <w:pPr>
              <w:rPr>
                <w:rFonts w:ascii="Century Gothic" w:hAnsi="Century Gothic" w:cs="Arial"/>
                <w:bCs/>
                <w:color w:val="000000"/>
                <w:bdr w:val="none" w:sz="0" w:space="0" w:color="auto" w:frame="1"/>
                <w:shd w:val="clear" w:color="auto" w:fill="FFFFFF"/>
              </w:rPr>
            </w:pPr>
          </w:p>
          <w:p w14:paraId="1C9C4DBD" w14:textId="77777777" w:rsidR="00237B73" w:rsidRDefault="00237B73" w:rsidP="003940B4">
            <w:pPr>
              <w:rPr>
                <w:rFonts w:ascii="Century Gothic" w:hAnsi="Century Gothic" w:cs="Arial"/>
                <w:bCs/>
                <w:color w:val="000000"/>
                <w:bdr w:val="none" w:sz="0" w:space="0" w:color="auto" w:frame="1"/>
                <w:shd w:val="clear" w:color="auto" w:fill="FFFFFF"/>
              </w:rPr>
            </w:pPr>
          </w:p>
          <w:p w14:paraId="335F00EF" w14:textId="77777777" w:rsidR="00237B73" w:rsidRDefault="00237B73" w:rsidP="003940B4">
            <w:pPr>
              <w:rPr>
                <w:rFonts w:ascii="Century Gothic" w:hAnsi="Century Gothic" w:cs="Arial"/>
                <w:bCs/>
                <w:color w:val="000000"/>
                <w:bdr w:val="none" w:sz="0" w:space="0" w:color="auto" w:frame="1"/>
                <w:shd w:val="clear" w:color="auto" w:fill="FFFFFF"/>
              </w:rPr>
            </w:pPr>
          </w:p>
          <w:p w14:paraId="7C38C701" w14:textId="0BB6171F" w:rsidR="00237B73" w:rsidRDefault="00237B73" w:rsidP="003940B4">
            <w:pPr>
              <w:rPr>
                <w:rFonts w:ascii="Century Gothic" w:hAnsi="Century Gothic" w:cs="Arial"/>
                <w:bCs/>
                <w:color w:val="000000"/>
                <w:bdr w:val="none" w:sz="0" w:space="0" w:color="auto" w:frame="1"/>
                <w:shd w:val="clear" w:color="auto" w:fill="FFFFFF"/>
              </w:rPr>
            </w:pPr>
          </w:p>
          <w:p w14:paraId="29375997" w14:textId="64BCB27A" w:rsidR="00237B73" w:rsidRDefault="00237B73" w:rsidP="003940B4">
            <w:pPr>
              <w:rPr>
                <w:rFonts w:ascii="Century Gothic" w:hAnsi="Century Gothic" w:cs="Arial"/>
                <w:bCs/>
                <w:color w:val="000000"/>
                <w:bdr w:val="none" w:sz="0" w:space="0" w:color="auto" w:frame="1"/>
                <w:shd w:val="clear" w:color="auto" w:fill="FFFFFF"/>
              </w:rPr>
            </w:pPr>
          </w:p>
          <w:p w14:paraId="4B74C2CE" w14:textId="35E84A83" w:rsidR="00237B73" w:rsidRDefault="00237B73" w:rsidP="003940B4">
            <w:pPr>
              <w:rPr>
                <w:rFonts w:ascii="Century Gothic" w:hAnsi="Century Gothic" w:cs="Arial"/>
                <w:bCs/>
                <w:color w:val="000000"/>
                <w:bdr w:val="none" w:sz="0" w:space="0" w:color="auto" w:frame="1"/>
                <w:shd w:val="clear" w:color="auto" w:fill="FFFFFF"/>
              </w:rPr>
            </w:pPr>
          </w:p>
          <w:p w14:paraId="59624794" w14:textId="7B00D544" w:rsidR="00237B73" w:rsidRDefault="00237B73" w:rsidP="003940B4">
            <w:pPr>
              <w:rPr>
                <w:rFonts w:ascii="Century Gothic" w:hAnsi="Century Gothic" w:cs="Arial"/>
                <w:bCs/>
                <w:color w:val="000000"/>
                <w:bdr w:val="none" w:sz="0" w:space="0" w:color="auto" w:frame="1"/>
                <w:shd w:val="clear" w:color="auto" w:fill="FFFFFF"/>
              </w:rPr>
            </w:pPr>
          </w:p>
          <w:p w14:paraId="2A60E470" w14:textId="77777777" w:rsidR="00237B73" w:rsidRDefault="00237B73" w:rsidP="003940B4">
            <w:pPr>
              <w:rPr>
                <w:rFonts w:ascii="Century Gothic" w:hAnsi="Century Gothic" w:cs="Arial"/>
                <w:bCs/>
                <w:color w:val="000000"/>
                <w:bdr w:val="none" w:sz="0" w:space="0" w:color="auto" w:frame="1"/>
                <w:shd w:val="clear" w:color="auto" w:fill="FFFFFF"/>
              </w:rPr>
            </w:pPr>
          </w:p>
          <w:p w14:paraId="631D24DE" w14:textId="77777777" w:rsidR="004B09C5" w:rsidRPr="008B5447" w:rsidRDefault="004B09C5" w:rsidP="003940B4">
            <w:pPr>
              <w:rPr>
                <w:rFonts w:ascii="Century Gothic" w:hAnsi="Century Gothic" w:cs="Arial"/>
                <w:bCs/>
                <w:color w:val="000000"/>
                <w:bdr w:val="none" w:sz="0" w:space="0" w:color="auto" w:frame="1"/>
                <w:shd w:val="clear" w:color="auto" w:fill="FFFFFF"/>
              </w:rPr>
            </w:pPr>
          </w:p>
          <w:p w14:paraId="5EB3B048"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2E7EA3BB" w14:textId="1DF21852" w:rsidR="00237B73" w:rsidRDefault="00237B73" w:rsidP="003940B4">
            <w:pPr>
              <w:jc w:val="center"/>
              <w:rPr>
                <w:rFonts w:ascii="Century Gothic" w:hAnsi="Century Gothic" w:cs="Arial"/>
                <w:b/>
              </w:rPr>
            </w:pPr>
            <w:r>
              <w:rPr>
                <w:rFonts w:ascii="Century Gothic" w:hAnsi="Century Gothic" w:cs="Arial"/>
                <w:b/>
              </w:rPr>
              <w:t xml:space="preserve">ALFREDO RAFAEL DELUQUE ZULETA </w:t>
            </w:r>
          </w:p>
          <w:p w14:paraId="4B5C1426"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267DE021"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p>
          <w:p w14:paraId="460C2229" w14:textId="77777777" w:rsidR="00237B73" w:rsidRDefault="00237B73" w:rsidP="003940B4">
            <w:pPr>
              <w:rPr>
                <w:rFonts w:ascii="Century Gothic" w:hAnsi="Century Gothic" w:cs="Arial"/>
                <w:bCs/>
                <w:color w:val="000000"/>
                <w:bdr w:val="none" w:sz="0" w:space="0" w:color="auto" w:frame="1"/>
                <w:shd w:val="clear" w:color="auto" w:fill="FFFFFF"/>
              </w:rPr>
            </w:pPr>
          </w:p>
          <w:p w14:paraId="5A87665F" w14:textId="77777777" w:rsidR="00237B73" w:rsidRPr="008B5447" w:rsidRDefault="00237B73" w:rsidP="003940B4">
            <w:pPr>
              <w:rPr>
                <w:rFonts w:ascii="Century Gothic" w:hAnsi="Century Gothic" w:cs="Arial"/>
                <w:bCs/>
                <w:color w:val="000000"/>
                <w:bdr w:val="none" w:sz="0" w:space="0" w:color="auto" w:frame="1"/>
                <w:shd w:val="clear" w:color="auto" w:fill="FFFFFF"/>
              </w:rPr>
            </w:pPr>
          </w:p>
          <w:p w14:paraId="176F1E6F" w14:textId="77777777" w:rsidR="00237B73" w:rsidRDefault="00237B73" w:rsidP="003940B4">
            <w:pPr>
              <w:jc w:val="center"/>
              <w:rPr>
                <w:rFonts w:ascii="Century Gothic" w:hAnsi="Century Gothic" w:cs="Arial"/>
                <w:bCs/>
                <w:color w:val="000000"/>
                <w:bdr w:val="none" w:sz="0" w:space="0" w:color="auto" w:frame="1"/>
                <w:shd w:val="clear" w:color="auto" w:fill="FFFFFF"/>
              </w:rPr>
            </w:pPr>
          </w:p>
          <w:p w14:paraId="0314F63D" w14:textId="3617D6CD" w:rsidR="00237B73" w:rsidRDefault="00237B73" w:rsidP="004B09C5">
            <w:pPr>
              <w:jc w:val="center"/>
              <w:rPr>
                <w:rFonts w:ascii="Century Gothic" w:hAnsi="Century Gothic" w:cs="Arial"/>
                <w:bCs/>
                <w:color w:val="000000"/>
                <w:bdr w:val="none" w:sz="0" w:space="0" w:color="auto" w:frame="1"/>
                <w:shd w:val="clear" w:color="auto" w:fill="FFFFFF"/>
              </w:rPr>
            </w:pPr>
          </w:p>
          <w:p w14:paraId="4B984034" w14:textId="77777777" w:rsidR="009C6D73" w:rsidRDefault="009C6D73" w:rsidP="004B09C5">
            <w:pPr>
              <w:jc w:val="center"/>
              <w:rPr>
                <w:rFonts w:ascii="Century Gothic" w:hAnsi="Century Gothic" w:cs="Arial"/>
                <w:bCs/>
                <w:color w:val="000000"/>
                <w:bdr w:val="none" w:sz="0" w:space="0" w:color="auto" w:frame="1"/>
                <w:shd w:val="clear" w:color="auto" w:fill="FFFFFF"/>
              </w:rPr>
            </w:pPr>
          </w:p>
          <w:p w14:paraId="7BBDF191" w14:textId="77777777" w:rsidR="009C6D73" w:rsidRDefault="009C6D73" w:rsidP="004B09C5">
            <w:pPr>
              <w:jc w:val="center"/>
              <w:rPr>
                <w:rFonts w:ascii="Century Gothic" w:hAnsi="Century Gothic" w:cs="Arial"/>
                <w:bCs/>
                <w:color w:val="000000"/>
                <w:bdr w:val="none" w:sz="0" w:space="0" w:color="auto" w:frame="1"/>
                <w:shd w:val="clear" w:color="auto" w:fill="FFFFFF"/>
              </w:rPr>
            </w:pPr>
          </w:p>
          <w:p w14:paraId="40E92FAE" w14:textId="77777777" w:rsidR="009C6D73" w:rsidRDefault="009C6D73" w:rsidP="004B09C5">
            <w:pPr>
              <w:jc w:val="center"/>
              <w:rPr>
                <w:rFonts w:ascii="Century Gothic" w:hAnsi="Century Gothic" w:cs="Arial"/>
                <w:bCs/>
                <w:color w:val="000000"/>
                <w:bdr w:val="none" w:sz="0" w:space="0" w:color="auto" w:frame="1"/>
                <w:shd w:val="clear" w:color="auto" w:fill="FFFFFF"/>
              </w:rPr>
            </w:pPr>
          </w:p>
          <w:p w14:paraId="4CD6F543" w14:textId="77777777" w:rsidR="009C6D73" w:rsidRDefault="009C6D73" w:rsidP="004B09C5">
            <w:pPr>
              <w:jc w:val="center"/>
              <w:rPr>
                <w:rFonts w:ascii="Century Gothic" w:hAnsi="Century Gothic" w:cs="Arial"/>
                <w:bCs/>
                <w:color w:val="000000"/>
                <w:bdr w:val="none" w:sz="0" w:space="0" w:color="auto" w:frame="1"/>
                <w:shd w:val="clear" w:color="auto" w:fill="FFFFFF"/>
              </w:rPr>
            </w:pPr>
          </w:p>
          <w:p w14:paraId="6D8BD704" w14:textId="77777777" w:rsidR="009C6D73" w:rsidRDefault="009C6D73" w:rsidP="004B09C5">
            <w:pPr>
              <w:jc w:val="center"/>
              <w:rPr>
                <w:rFonts w:ascii="Century Gothic" w:hAnsi="Century Gothic" w:cs="Arial"/>
                <w:bCs/>
                <w:color w:val="000000"/>
                <w:bdr w:val="none" w:sz="0" w:space="0" w:color="auto" w:frame="1"/>
                <w:shd w:val="clear" w:color="auto" w:fill="FFFFFF"/>
              </w:rPr>
            </w:pPr>
          </w:p>
          <w:p w14:paraId="1CEF4C96"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2359DC2D" w14:textId="104A2B21" w:rsidR="00237B73" w:rsidRDefault="00237B73" w:rsidP="003940B4">
            <w:pPr>
              <w:jc w:val="center"/>
              <w:rPr>
                <w:rFonts w:ascii="Century Gothic" w:hAnsi="Century Gothic" w:cs="Arial"/>
                <w:b/>
              </w:rPr>
            </w:pPr>
            <w:r>
              <w:rPr>
                <w:rFonts w:ascii="Century Gothic" w:hAnsi="Century Gothic" w:cs="Arial"/>
                <w:b/>
              </w:rPr>
              <w:t>NILTON CÓRDOBA MANYOMA</w:t>
            </w:r>
          </w:p>
          <w:p w14:paraId="49608157" w14:textId="77777777" w:rsidR="00237B73" w:rsidRPr="008B5447" w:rsidRDefault="00237B73" w:rsidP="003940B4">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237B73" w:rsidRPr="008B5447" w14:paraId="463183B7" w14:textId="77777777" w:rsidTr="003940B4">
        <w:trPr>
          <w:trHeight w:val="2180"/>
        </w:trPr>
        <w:tc>
          <w:tcPr>
            <w:tcW w:w="4535" w:type="dxa"/>
          </w:tcPr>
          <w:p w14:paraId="65900EB7" w14:textId="28C49FD4" w:rsidR="00237B73" w:rsidRDefault="00237B73" w:rsidP="003940B4">
            <w:pPr>
              <w:jc w:val="center"/>
              <w:rPr>
                <w:rFonts w:ascii="Century Gothic" w:hAnsi="Century Gothic" w:cs="Arial"/>
                <w:bCs/>
                <w:color w:val="000000"/>
                <w:bdr w:val="none" w:sz="0" w:space="0" w:color="auto" w:frame="1"/>
                <w:shd w:val="clear" w:color="auto" w:fill="FFFFFF"/>
              </w:rPr>
            </w:pPr>
          </w:p>
          <w:p w14:paraId="629168D5" w14:textId="69D44E9C" w:rsidR="00237B73" w:rsidRDefault="00237B73" w:rsidP="003940B4">
            <w:pPr>
              <w:jc w:val="center"/>
              <w:rPr>
                <w:rFonts w:ascii="Century Gothic" w:hAnsi="Century Gothic" w:cs="Arial"/>
                <w:bCs/>
                <w:color w:val="000000"/>
                <w:bdr w:val="none" w:sz="0" w:space="0" w:color="auto" w:frame="1"/>
                <w:shd w:val="clear" w:color="auto" w:fill="FFFFFF"/>
              </w:rPr>
            </w:pPr>
          </w:p>
          <w:p w14:paraId="7F6F91DC" w14:textId="2644700D" w:rsidR="00237B73" w:rsidRDefault="00237B73" w:rsidP="003940B4">
            <w:pPr>
              <w:jc w:val="center"/>
              <w:rPr>
                <w:rFonts w:ascii="Century Gothic" w:hAnsi="Century Gothic" w:cs="Arial"/>
                <w:bCs/>
                <w:color w:val="000000"/>
                <w:bdr w:val="none" w:sz="0" w:space="0" w:color="auto" w:frame="1"/>
                <w:shd w:val="clear" w:color="auto" w:fill="FFFFFF"/>
              </w:rPr>
            </w:pPr>
          </w:p>
          <w:p w14:paraId="763BA6FF" w14:textId="773CE573" w:rsidR="00237B73" w:rsidRDefault="00237B73" w:rsidP="003940B4">
            <w:pPr>
              <w:jc w:val="center"/>
              <w:rPr>
                <w:rFonts w:ascii="Century Gothic" w:hAnsi="Century Gothic" w:cs="Arial"/>
                <w:bCs/>
                <w:color w:val="000000"/>
                <w:bdr w:val="none" w:sz="0" w:space="0" w:color="auto" w:frame="1"/>
                <w:shd w:val="clear" w:color="auto" w:fill="FFFFFF"/>
              </w:rPr>
            </w:pPr>
          </w:p>
          <w:p w14:paraId="69826B10" w14:textId="23595577" w:rsidR="00237B73" w:rsidRPr="008B5447" w:rsidRDefault="00237B73" w:rsidP="003940B4">
            <w:pPr>
              <w:rPr>
                <w:rFonts w:ascii="Century Gothic" w:hAnsi="Century Gothic" w:cs="Arial"/>
                <w:b/>
                <w:color w:val="000000"/>
                <w:bdr w:val="none" w:sz="0" w:space="0" w:color="auto" w:frame="1"/>
                <w:shd w:val="clear" w:color="auto" w:fill="FFFFFF"/>
              </w:rPr>
            </w:pPr>
          </w:p>
          <w:p w14:paraId="4B522A57" w14:textId="77777777" w:rsidR="00237B73" w:rsidRPr="008B5447" w:rsidRDefault="00237B73" w:rsidP="003940B4">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2A2F2A2B" w14:textId="3233C18E" w:rsidR="00237B73" w:rsidRDefault="00237B73" w:rsidP="003940B4">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ADRIANA MATIZ VARGAS</w:t>
            </w:r>
          </w:p>
          <w:p w14:paraId="6E716FF0" w14:textId="77777777" w:rsidR="00237B73" w:rsidRPr="008B5447" w:rsidRDefault="00237B73" w:rsidP="003940B4">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220C1FED" w14:textId="75E2E2E2" w:rsidR="004B09C5" w:rsidRDefault="004B09C5" w:rsidP="004B09C5">
            <w:pPr>
              <w:rPr>
                <w:rFonts w:ascii="Century Gothic" w:hAnsi="Century Gothic" w:cs="Arial"/>
                <w:bCs/>
                <w:color w:val="000000"/>
                <w:bdr w:val="none" w:sz="0" w:space="0" w:color="auto" w:frame="1"/>
                <w:shd w:val="clear" w:color="auto" w:fill="FFFFFF"/>
              </w:rPr>
            </w:pPr>
          </w:p>
          <w:p w14:paraId="7FFCD906" w14:textId="77777777" w:rsidR="004B09C5" w:rsidRPr="004B09C5" w:rsidRDefault="004B09C5" w:rsidP="004B09C5">
            <w:pPr>
              <w:rPr>
                <w:rFonts w:ascii="Century Gothic" w:hAnsi="Century Gothic" w:cs="Arial"/>
              </w:rPr>
            </w:pPr>
          </w:p>
          <w:p w14:paraId="1C26F622" w14:textId="09DC3732" w:rsidR="004B09C5" w:rsidRDefault="004B09C5" w:rsidP="004B09C5">
            <w:pPr>
              <w:rPr>
                <w:rFonts w:ascii="Century Gothic" w:hAnsi="Century Gothic" w:cs="Arial"/>
              </w:rPr>
            </w:pPr>
          </w:p>
          <w:p w14:paraId="603E1F9A" w14:textId="65AA3F1C" w:rsidR="004B09C5" w:rsidRDefault="004B09C5" w:rsidP="004B09C5">
            <w:pPr>
              <w:rPr>
                <w:rFonts w:ascii="Century Gothic" w:hAnsi="Century Gothic" w:cs="Arial"/>
              </w:rPr>
            </w:pPr>
          </w:p>
          <w:p w14:paraId="68945504" w14:textId="77777777" w:rsidR="004B09C5" w:rsidRDefault="004B09C5" w:rsidP="004B09C5">
            <w:pPr>
              <w:rPr>
                <w:rFonts w:ascii="Century Gothic" w:hAnsi="Century Gothic" w:cs="Arial"/>
              </w:rPr>
            </w:pPr>
          </w:p>
          <w:p w14:paraId="3CAF06BE" w14:textId="588C35AE" w:rsidR="009D4D98" w:rsidRPr="004B09C5" w:rsidRDefault="004B09C5" w:rsidP="009D4D98">
            <w:pPr>
              <w:jc w:val="center"/>
              <w:rPr>
                <w:rFonts w:ascii="Century Gothic" w:hAnsi="Century Gothic" w:cs="Arial"/>
              </w:rPr>
            </w:pPr>
            <w:r>
              <w:rPr>
                <w:rFonts w:ascii="Century Gothic" w:hAnsi="Century Gothic" w:cs="Arial"/>
              </w:rPr>
              <w:tab/>
            </w:r>
          </w:p>
          <w:p w14:paraId="4F440963" w14:textId="4F02A0FC" w:rsidR="00237B73" w:rsidRPr="004B09C5" w:rsidRDefault="00237B73" w:rsidP="004B09C5">
            <w:pPr>
              <w:tabs>
                <w:tab w:val="left" w:pos="1111"/>
              </w:tabs>
              <w:rPr>
                <w:rFonts w:ascii="Century Gothic" w:hAnsi="Century Gothic" w:cs="Arial"/>
              </w:rPr>
            </w:pPr>
          </w:p>
        </w:tc>
      </w:tr>
      <w:tr w:rsidR="00237B73" w:rsidRPr="008B5447" w14:paraId="5473A89C" w14:textId="77777777" w:rsidTr="004B09C5">
        <w:trPr>
          <w:trHeight w:val="1601"/>
        </w:trPr>
        <w:tc>
          <w:tcPr>
            <w:tcW w:w="4535" w:type="dxa"/>
          </w:tcPr>
          <w:p w14:paraId="7496DB4B" w14:textId="77777777" w:rsidR="00237B73" w:rsidRPr="008B5447" w:rsidRDefault="00237B73" w:rsidP="003940B4">
            <w:pPr>
              <w:rPr>
                <w:rFonts w:ascii="Century Gothic" w:hAnsi="Century Gothic" w:cs="Arial"/>
                <w:bCs/>
                <w:color w:val="000000"/>
                <w:bdr w:val="none" w:sz="0" w:space="0" w:color="auto" w:frame="1"/>
                <w:shd w:val="clear" w:color="auto" w:fill="FFFFFF"/>
              </w:rPr>
            </w:pPr>
          </w:p>
          <w:p w14:paraId="5A67C7F4" w14:textId="6FA0748B" w:rsidR="00237B73" w:rsidRPr="008B5447" w:rsidRDefault="00237B73" w:rsidP="003940B4">
            <w:pPr>
              <w:jc w:val="center"/>
              <w:rPr>
                <w:rFonts w:ascii="Century Gothic" w:hAnsi="Century Gothic" w:cs="Arial"/>
                <w:b/>
                <w:color w:val="000000"/>
                <w:bdr w:val="none" w:sz="0" w:space="0" w:color="auto" w:frame="1"/>
                <w:shd w:val="clear" w:color="auto" w:fill="FFFFFF"/>
              </w:rPr>
            </w:pPr>
          </w:p>
          <w:p w14:paraId="63940899" w14:textId="3E4EC9CC" w:rsidR="00237B73" w:rsidRPr="008B5447" w:rsidRDefault="00237B73" w:rsidP="003940B4">
            <w:pPr>
              <w:jc w:val="center"/>
              <w:rPr>
                <w:rFonts w:ascii="Century Gothic" w:hAnsi="Century Gothic" w:cs="Arial"/>
                <w:bCs/>
                <w:color w:val="000000"/>
                <w:bdr w:val="none" w:sz="0" w:space="0" w:color="auto" w:frame="1"/>
                <w:shd w:val="clear" w:color="auto" w:fill="FFFFFF"/>
              </w:rPr>
            </w:pPr>
          </w:p>
        </w:tc>
        <w:tc>
          <w:tcPr>
            <w:tcW w:w="4535" w:type="dxa"/>
          </w:tcPr>
          <w:p w14:paraId="411AAF92" w14:textId="77777777" w:rsidR="00237B73" w:rsidRPr="008B5447" w:rsidRDefault="00237B73" w:rsidP="004B09C5">
            <w:pPr>
              <w:rPr>
                <w:rFonts w:ascii="Century Gothic" w:hAnsi="Century Gothic" w:cs="Arial"/>
                <w:bCs/>
                <w:color w:val="000000"/>
                <w:bdr w:val="none" w:sz="0" w:space="0" w:color="auto" w:frame="1"/>
                <w:shd w:val="clear" w:color="auto" w:fill="FFFFFF"/>
              </w:rPr>
            </w:pPr>
          </w:p>
          <w:p w14:paraId="215BA91E" w14:textId="5C7EDC74" w:rsidR="00237B73" w:rsidRPr="00BE754E" w:rsidRDefault="00237B73" w:rsidP="003940B4">
            <w:pPr>
              <w:jc w:val="center"/>
              <w:rPr>
                <w:rFonts w:ascii="Century Gothic" w:hAnsi="Century Gothic" w:cs="Arial"/>
                <w:bCs/>
                <w:color w:val="000000"/>
                <w:bdr w:val="none" w:sz="0" w:space="0" w:color="auto" w:frame="1"/>
                <w:shd w:val="clear" w:color="auto" w:fill="FFFFFF"/>
              </w:rPr>
            </w:pPr>
          </w:p>
        </w:tc>
      </w:tr>
    </w:tbl>
    <w:p w14:paraId="74183D4D" w14:textId="66D79F22" w:rsidR="00237B73" w:rsidRDefault="00237B73" w:rsidP="00237B73">
      <w:pPr>
        <w:jc w:val="center"/>
        <w:rPr>
          <w:rFonts w:ascii="Century Gothic" w:hAnsi="Century Gothic" w:cs="Arial"/>
          <w:b/>
          <w:color w:val="000000"/>
          <w:bdr w:val="none" w:sz="0" w:space="0" w:color="auto" w:frame="1"/>
          <w:shd w:val="clear" w:color="auto" w:fill="FFFFFF"/>
        </w:rPr>
      </w:pPr>
    </w:p>
    <w:p w14:paraId="044C5FBD" w14:textId="77777777" w:rsidR="00237B73" w:rsidRDefault="00237B73" w:rsidP="00237B73">
      <w:pPr>
        <w:jc w:val="center"/>
        <w:rPr>
          <w:rFonts w:ascii="Century Gothic" w:hAnsi="Century Gothic" w:cs="Arial"/>
          <w:b/>
          <w:color w:val="000000"/>
          <w:bdr w:val="none" w:sz="0" w:space="0" w:color="auto" w:frame="1"/>
          <w:shd w:val="clear" w:color="auto" w:fill="FFFFFF"/>
        </w:rPr>
      </w:pPr>
    </w:p>
    <w:p w14:paraId="60F4A636" w14:textId="77777777" w:rsidR="00237B73" w:rsidRDefault="00237B73" w:rsidP="00237B73">
      <w:pPr>
        <w:jc w:val="center"/>
        <w:rPr>
          <w:rFonts w:ascii="Century Gothic" w:hAnsi="Century Gothic" w:cs="Arial"/>
          <w:b/>
          <w:color w:val="000000"/>
          <w:bdr w:val="none" w:sz="0" w:space="0" w:color="auto" w:frame="1"/>
          <w:shd w:val="clear" w:color="auto" w:fill="FFFFFF"/>
        </w:rPr>
      </w:pPr>
    </w:p>
    <w:p w14:paraId="6DA29602" w14:textId="77777777" w:rsidR="00237B73" w:rsidRDefault="00237B73" w:rsidP="00C14269">
      <w:pPr>
        <w:rPr>
          <w:rFonts w:ascii="Century Gothic" w:hAnsi="Century Gothic" w:cs="Arial"/>
        </w:rPr>
      </w:pPr>
    </w:p>
    <w:p w14:paraId="74B81E7D" w14:textId="77777777" w:rsidR="00C82E26" w:rsidRDefault="00C82E26" w:rsidP="00C14269">
      <w:pPr>
        <w:rPr>
          <w:rFonts w:ascii="Century Gothic" w:hAnsi="Century Gothic" w:cs="Arial"/>
        </w:rPr>
      </w:pPr>
    </w:p>
    <w:p w14:paraId="56768B48" w14:textId="77777777" w:rsidR="00C82E26" w:rsidRDefault="00C82E26" w:rsidP="00C14269">
      <w:pPr>
        <w:rPr>
          <w:rFonts w:ascii="Century Gothic" w:hAnsi="Century Gothic" w:cs="Arial"/>
        </w:rPr>
      </w:pPr>
    </w:p>
    <w:p w14:paraId="01018A57" w14:textId="77777777" w:rsidR="00237B73" w:rsidRDefault="00237B73" w:rsidP="00C14269">
      <w:pPr>
        <w:rPr>
          <w:rFonts w:ascii="Century Gothic" w:hAnsi="Century Gothic" w:cs="Arial"/>
        </w:rPr>
      </w:pPr>
    </w:p>
    <w:p w14:paraId="3324D352" w14:textId="77777777" w:rsidR="00237B73" w:rsidRDefault="00237B73" w:rsidP="00C14269">
      <w:pPr>
        <w:rPr>
          <w:rFonts w:ascii="Century Gothic" w:hAnsi="Century Gothic" w:cs="Arial"/>
        </w:rPr>
      </w:pPr>
    </w:p>
    <w:p w14:paraId="26CBAE9C" w14:textId="77777777" w:rsidR="00237B73" w:rsidRDefault="00237B73" w:rsidP="00C14269">
      <w:pPr>
        <w:rPr>
          <w:rFonts w:ascii="Century Gothic" w:hAnsi="Century Gothic" w:cs="Arial"/>
        </w:rPr>
      </w:pPr>
    </w:p>
    <w:p w14:paraId="6EF65007" w14:textId="77777777" w:rsidR="00237B73" w:rsidRDefault="00237B73" w:rsidP="00C14269">
      <w:pPr>
        <w:rPr>
          <w:rFonts w:ascii="Century Gothic" w:hAnsi="Century Gothic" w:cs="Arial"/>
        </w:rPr>
      </w:pPr>
    </w:p>
    <w:p w14:paraId="1DABD868" w14:textId="77777777" w:rsidR="004B09C5" w:rsidRDefault="004B09C5" w:rsidP="00C14269">
      <w:pPr>
        <w:rPr>
          <w:rFonts w:ascii="Century Gothic" w:hAnsi="Century Gothic" w:cs="Arial"/>
        </w:rPr>
      </w:pPr>
    </w:p>
    <w:p w14:paraId="6499BF15" w14:textId="77777777" w:rsidR="004B09C5" w:rsidRDefault="004B09C5" w:rsidP="00C14269">
      <w:pPr>
        <w:rPr>
          <w:rFonts w:ascii="Century Gothic" w:hAnsi="Century Gothic" w:cs="Arial"/>
        </w:rPr>
      </w:pPr>
    </w:p>
    <w:p w14:paraId="79447665" w14:textId="77777777" w:rsidR="004B09C5" w:rsidRDefault="004B09C5" w:rsidP="00C14269">
      <w:pPr>
        <w:rPr>
          <w:rFonts w:ascii="Century Gothic" w:hAnsi="Century Gothic" w:cs="Arial"/>
        </w:rPr>
      </w:pPr>
    </w:p>
    <w:p w14:paraId="527F04DD" w14:textId="77777777" w:rsidR="004B09C5" w:rsidRDefault="004B09C5" w:rsidP="00C14269">
      <w:pPr>
        <w:rPr>
          <w:rFonts w:ascii="Century Gothic" w:hAnsi="Century Gothic" w:cs="Arial"/>
        </w:rPr>
      </w:pPr>
    </w:p>
    <w:p w14:paraId="6DEA7C02" w14:textId="77777777" w:rsidR="004B09C5" w:rsidRDefault="004B09C5" w:rsidP="00C14269">
      <w:pPr>
        <w:rPr>
          <w:rFonts w:ascii="Century Gothic" w:hAnsi="Century Gothic" w:cs="Arial"/>
        </w:rPr>
      </w:pPr>
    </w:p>
    <w:p w14:paraId="57A43DE1" w14:textId="77777777" w:rsidR="004B09C5" w:rsidRDefault="004B09C5" w:rsidP="00C14269">
      <w:pPr>
        <w:rPr>
          <w:rFonts w:ascii="Century Gothic" w:hAnsi="Century Gothic" w:cs="Arial"/>
        </w:rPr>
      </w:pPr>
    </w:p>
    <w:p w14:paraId="52E6C2F8" w14:textId="77777777" w:rsidR="004B09C5" w:rsidRDefault="004B09C5" w:rsidP="00C14269">
      <w:pPr>
        <w:rPr>
          <w:rFonts w:ascii="Century Gothic" w:hAnsi="Century Gothic" w:cs="Arial"/>
        </w:rPr>
      </w:pPr>
    </w:p>
    <w:p w14:paraId="79D282F3" w14:textId="77777777" w:rsidR="004B09C5" w:rsidRDefault="004B09C5"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683AE888" w14:textId="0273B9F2" w:rsidR="00237B73" w:rsidRPr="00C77BF3" w:rsidRDefault="004403FE" w:rsidP="00237B73">
      <w:pPr>
        <w:pStyle w:val="Sinespaciado"/>
        <w:spacing w:line="276" w:lineRule="auto"/>
        <w:jc w:val="center"/>
        <w:rPr>
          <w:rFonts w:ascii="Arial" w:hAnsi="Arial" w:cs="Arial"/>
          <w:i/>
          <w:color w:val="000000" w:themeColor="text1"/>
          <w:lang w:val="es-MX"/>
        </w:rPr>
      </w:pPr>
      <w:r w:rsidRPr="008B5447">
        <w:rPr>
          <w:rFonts w:ascii="Century Gothic" w:hAnsi="Century Gothic" w:cs="Arial"/>
          <w:b/>
        </w:rPr>
        <w:lastRenderedPageBreak/>
        <w:t xml:space="preserve">TEXTO PROPUESTO PARA </w:t>
      </w:r>
      <w:r w:rsidRPr="008B5447">
        <w:rPr>
          <w:rFonts w:ascii="Century Gothic" w:eastAsia="Times New Roman" w:hAnsi="Century Gothic" w:cs="Arial"/>
          <w:b/>
          <w:bCs/>
          <w:lang w:eastAsia="es-CO"/>
        </w:rPr>
        <w:t xml:space="preserve">PRIMER DEBATE </w:t>
      </w:r>
      <w:r w:rsidR="00FB4CAC">
        <w:rPr>
          <w:rFonts w:ascii="Century Gothic" w:hAnsi="Century Gothic" w:cs="Arial"/>
          <w:b/>
        </w:rPr>
        <w:t>AL</w:t>
      </w:r>
      <w:r w:rsidR="00526AC5">
        <w:rPr>
          <w:rFonts w:ascii="Century Gothic" w:hAnsi="Century Gothic" w:cs="Arial"/>
          <w:b/>
        </w:rPr>
        <w:t xml:space="preserve"> PROYECTO DE LEY </w:t>
      </w:r>
      <w:r w:rsidR="00FD3C4C" w:rsidRPr="008B5447">
        <w:rPr>
          <w:rFonts w:ascii="Century Gothic" w:hAnsi="Century Gothic" w:cs="Arial"/>
          <w:b/>
        </w:rPr>
        <w:t>N</w:t>
      </w:r>
      <w:r w:rsidR="00237B73">
        <w:rPr>
          <w:rFonts w:ascii="Century Gothic" w:hAnsi="Century Gothic" w:cs="Arial"/>
          <w:b/>
        </w:rPr>
        <w:t>o. 124</w:t>
      </w:r>
      <w:r w:rsidR="00FD3C4C" w:rsidRPr="008B5447">
        <w:rPr>
          <w:rFonts w:ascii="Century Gothic" w:hAnsi="Century Gothic" w:cs="Arial"/>
          <w:b/>
        </w:rPr>
        <w:t xml:space="preserve"> DE 2020 CÁMARA</w:t>
      </w:r>
      <w:r w:rsidR="00237B73" w:rsidRPr="008B5447">
        <w:rPr>
          <w:rFonts w:ascii="Century Gothic" w:hAnsi="Century Gothic" w:cs="Arial"/>
          <w:b/>
        </w:rPr>
        <w:t xml:space="preserve"> </w:t>
      </w:r>
      <w:r w:rsidR="00237B73" w:rsidRPr="00237B73">
        <w:rPr>
          <w:rFonts w:ascii="Century Gothic" w:hAnsi="Century Gothic" w:cs="Arial"/>
          <w:b/>
        </w:rPr>
        <w:t>“POR MEDIO DE LA CUAL SE MODIFICAN LOS ARTÍCULOS 175 Y 201 DE LA LEY 906 DE 2004, CON EL FIN DE ESTABLECER UN TÉRMINO PERENTORIO PARA LA ETAPA DE INDAGACIÓN, TRATÁNDOSE DE DELITOS GRAVES REALIZADOS CONTRA LOS NIÑOS, NIÑAS Y ADOLESCENTES, SE CREA LA UNIDAD ESPECIAL DE INVESTIGACIÓN DE DELITOS DE ALTO IMPACTO COMETIDOS CONTRA LA INFANCIA Y LA ADOLESCENCIA, Y SE DICTAN OTRAS DISPOSICIONES”</w:t>
      </w:r>
    </w:p>
    <w:p w14:paraId="1BCCE97A" w14:textId="64BAAAE4" w:rsidR="00FD3C4C" w:rsidRPr="000C129B" w:rsidRDefault="00FD3C4C" w:rsidP="00FD3C4C">
      <w:pPr>
        <w:pStyle w:val="Default"/>
        <w:jc w:val="center"/>
        <w:rPr>
          <w:rFonts w:ascii="Century Gothic" w:hAnsi="Century Gothic" w:cs="Arial"/>
          <w:b/>
        </w:rPr>
      </w:pPr>
    </w:p>
    <w:p w14:paraId="418AE7D7" w14:textId="11B9B121" w:rsidR="00215092" w:rsidRPr="00237B73" w:rsidRDefault="00215092" w:rsidP="00261F1C">
      <w:pPr>
        <w:shd w:val="clear" w:color="auto" w:fill="FFFFFF"/>
        <w:jc w:val="center"/>
        <w:rPr>
          <w:rFonts w:ascii="Century Gothic" w:hAnsi="Century Gothic" w:cs="Arial"/>
          <w:b/>
        </w:rPr>
      </w:pPr>
    </w:p>
    <w:p w14:paraId="78080457" w14:textId="5C23230C" w:rsidR="004403FE" w:rsidRPr="00237B73" w:rsidRDefault="004403FE" w:rsidP="00261F1C">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2CB12965" w14:textId="77777777" w:rsidR="00237B73" w:rsidRPr="00237B73" w:rsidRDefault="00237B73" w:rsidP="00261F1C">
      <w:pPr>
        <w:shd w:val="clear" w:color="auto" w:fill="FFFFFF"/>
        <w:jc w:val="center"/>
        <w:rPr>
          <w:rFonts w:ascii="Century Gothic" w:hAnsi="Century Gothic" w:cs="Arial"/>
          <w:b/>
          <w:bCs/>
        </w:rPr>
      </w:pPr>
    </w:p>
    <w:p w14:paraId="669B854C" w14:textId="77777777" w:rsidR="004403FE" w:rsidRPr="00237B73" w:rsidRDefault="004403FE" w:rsidP="004403FE">
      <w:pPr>
        <w:jc w:val="center"/>
        <w:rPr>
          <w:rFonts w:ascii="Century Gothic" w:hAnsi="Century Gothic" w:cs="Arial"/>
          <w:b/>
          <w:bCs/>
        </w:rPr>
      </w:pPr>
      <w:r w:rsidRPr="00237B73">
        <w:rPr>
          <w:rFonts w:ascii="Century Gothic" w:hAnsi="Century Gothic" w:cs="Arial"/>
          <w:b/>
          <w:bCs/>
        </w:rPr>
        <w:t>DECRETA:</w:t>
      </w:r>
    </w:p>
    <w:p w14:paraId="1F25A06C" w14:textId="77777777" w:rsidR="00FD3C4C" w:rsidRPr="008B5447" w:rsidRDefault="00FD3C4C" w:rsidP="004403FE">
      <w:pPr>
        <w:jc w:val="center"/>
        <w:rPr>
          <w:rFonts w:ascii="Century Gothic" w:hAnsi="Century Gothic" w:cs="Arial"/>
          <w:bCs/>
        </w:rPr>
      </w:pPr>
    </w:p>
    <w:p w14:paraId="5CA6D913" w14:textId="2D56B35A" w:rsidR="00FD3C4C" w:rsidRDefault="00FD3C4C" w:rsidP="00FD3C4C">
      <w:pPr>
        <w:pStyle w:val="Prrafodelista"/>
        <w:rPr>
          <w:rFonts w:ascii="Century Gothic" w:hAnsi="Century Gothic" w:cs="Arial"/>
        </w:rPr>
      </w:pPr>
    </w:p>
    <w:p w14:paraId="609341BF" w14:textId="77777777" w:rsidR="00FD3C4C" w:rsidRPr="00237B73" w:rsidRDefault="00FD3C4C" w:rsidP="00FD3C4C">
      <w:pPr>
        <w:rPr>
          <w:rFonts w:ascii="Century Gothic" w:hAnsi="Century Gothic"/>
        </w:rPr>
      </w:pPr>
    </w:p>
    <w:p w14:paraId="6768E5AB" w14:textId="77777777" w:rsidR="00237B73" w:rsidRPr="00237B73" w:rsidRDefault="00237B73" w:rsidP="00237B73">
      <w:pPr>
        <w:spacing w:line="276" w:lineRule="auto"/>
        <w:jc w:val="both"/>
        <w:rPr>
          <w:rFonts w:ascii="Century Gothic" w:hAnsi="Century Gothic" w:cs="Arial"/>
          <w:color w:val="000000" w:themeColor="text1"/>
          <w:sz w:val="22"/>
          <w:szCs w:val="22"/>
        </w:rPr>
      </w:pPr>
      <w:r w:rsidRPr="00237B73">
        <w:rPr>
          <w:rFonts w:ascii="Century Gothic" w:hAnsi="Century Gothic" w:cs="Arial"/>
          <w:b/>
          <w:color w:val="000000" w:themeColor="text1"/>
          <w:sz w:val="22"/>
          <w:szCs w:val="22"/>
          <w:lang w:val="es-MX"/>
        </w:rPr>
        <w:t xml:space="preserve">ARTÍCULO 1. </w:t>
      </w:r>
      <w:r w:rsidRPr="00237B73">
        <w:rPr>
          <w:rFonts w:ascii="Century Gothic" w:hAnsi="Century Gothic" w:cs="Arial"/>
          <w:color w:val="000000" w:themeColor="text1"/>
          <w:sz w:val="22"/>
          <w:szCs w:val="22"/>
        </w:rPr>
        <w:t>Modifíquese el artículo 175 de la Ley 906 de 2004, el cual quedará así:</w:t>
      </w:r>
    </w:p>
    <w:p w14:paraId="3E3FBCF1" w14:textId="77777777" w:rsidR="00237B73" w:rsidRPr="00237B73" w:rsidRDefault="00237B73" w:rsidP="00237B73">
      <w:pPr>
        <w:spacing w:line="276" w:lineRule="auto"/>
        <w:jc w:val="both"/>
        <w:rPr>
          <w:rFonts w:ascii="Century Gothic" w:hAnsi="Century Gothic" w:cs="Arial"/>
          <w:color w:val="000000" w:themeColor="text1"/>
          <w:sz w:val="22"/>
          <w:szCs w:val="22"/>
        </w:rPr>
      </w:pPr>
    </w:p>
    <w:p w14:paraId="2E405201"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bookmarkStart w:id="0" w:name="1"/>
      <w:bookmarkStart w:id="1" w:name="41"/>
      <w:r w:rsidRPr="00237B73">
        <w:rPr>
          <w:rFonts w:ascii="Century Gothic" w:eastAsiaTheme="minorHAnsi" w:hAnsi="Century Gothic" w:cs="Arial"/>
          <w:color w:val="000000" w:themeColor="text1"/>
          <w:sz w:val="22"/>
          <w:szCs w:val="22"/>
          <w:lang w:val="es-MX" w:eastAsia="es-ES"/>
        </w:rPr>
        <w:t>“</w:t>
      </w:r>
      <w:bookmarkStart w:id="2" w:name="175"/>
      <w:bookmarkEnd w:id="0"/>
      <w:r w:rsidRPr="00237B73">
        <w:rPr>
          <w:rFonts w:ascii="Century Gothic" w:eastAsiaTheme="minorHAnsi" w:hAnsi="Century Gothic" w:cs="Arial"/>
          <w:b/>
          <w:color w:val="000000" w:themeColor="text1"/>
          <w:sz w:val="22"/>
          <w:szCs w:val="22"/>
          <w:lang w:val="es-MX" w:eastAsia="es-ES"/>
        </w:rPr>
        <w:t>ARTÍCULO 175. DURACIÓN DE LOS PROCEDIMIENTOS</w:t>
      </w:r>
      <w:r w:rsidRPr="00237B73">
        <w:rPr>
          <w:rFonts w:ascii="Century Gothic" w:eastAsiaTheme="minorHAnsi" w:hAnsi="Century Gothic" w:cs="Arial"/>
          <w:color w:val="000000" w:themeColor="text1"/>
          <w:sz w:val="22"/>
          <w:szCs w:val="22"/>
          <w:lang w:val="es-MX" w:eastAsia="es-ES"/>
        </w:rPr>
        <w:t>.</w:t>
      </w:r>
      <w:bookmarkEnd w:id="2"/>
      <w:r w:rsidRPr="00237B73">
        <w:rPr>
          <w:rFonts w:ascii="Century Gothic" w:eastAsiaTheme="minorHAnsi" w:hAnsi="Century Gothic" w:cs="Arial"/>
          <w:color w:val="000000" w:themeColor="text1"/>
          <w:sz w:val="22"/>
          <w:szCs w:val="22"/>
          <w:lang w:val="es-MX" w:eastAsia="es-ES"/>
        </w:rPr>
        <w:t> El término de que dispone la Fiscalía para formular la acusación o solicitar la preclusión no podrá exceder de noventa (90) días contados desde el día siguiente a la formulación de la imputación, salvo lo previsto en el artículo </w:t>
      </w:r>
      <w:hyperlink r:id="rId9" w:anchor="294" w:history="1">
        <w:r w:rsidRPr="00237B73">
          <w:rPr>
            <w:rFonts w:ascii="Century Gothic" w:eastAsiaTheme="minorHAnsi" w:hAnsi="Century Gothic" w:cs="Arial"/>
            <w:color w:val="000000" w:themeColor="text1"/>
            <w:sz w:val="22"/>
            <w:szCs w:val="22"/>
            <w:lang w:val="es-MX" w:eastAsia="es-ES"/>
          </w:rPr>
          <w:t>294</w:t>
        </w:r>
      </w:hyperlink>
      <w:r w:rsidRPr="00237B73">
        <w:rPr>
          <w:rFonts w:ascii="Century Gothic" w:eastAsiaTheme="minorHAnsi" w:hAnsi="Century Gothic" w:cs="Arial"/>
          <w:color w:val="000000" w:themeColor="text1"/>
          <w:sz w:val="22"/>
          <w:szCs w:val="22"/>
          <w:lang w:val="es-MX" w:eastAsia="es-ES"/>
        </w:rPr>
        <w:t> de este código.</w:t>
      </w:r>
    </w:p>
    <w:p w14:paraId="7496ABC7"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r w:rsidRPr="00237B73">
        <w:rPr>
          <w:rFonts w:ascii="Century Gothic" w:eastAsiaTheme="minorHAnsi" w:hAnsi="Century Gothic" w:cs="Arial"/>
          <w:color w:val="000000" w:themeColor="text1"/>
          <w:sz w:val="22"/>
          <w:szCs w:val="22"/>
          <w:lang w:val="es-MX" w:eastAsia="es-ES"/>
        </w:rPr>
        <w:t>El término será de ciento veinte (120) días cuando se presente concurso de delitos, o cuando sean tres o más los imputados o cuando se trate de delitos de competencia de los Jueces Penales de Circuito Especializados.</w:t>
      </w:r>
    </w:p>
    <w:p w14:paraId="5348F311"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r w:rsidRPr="00237B73">
        <w:rPr>
          <w:rFonts w:ascii="Century Gothic" w:eastAsiaTheme="minorHAnsi" w:hAnsi="Century Gothic" w:cs="Arial"/>
          <w:color w:val="000000" w:themeColor="text1"/>
          <w:sz w:val="22"/>
          <w:szCs w:val="22"/>
          <w:lang w:val="es-MX" w:eastAsia="es-ES"/>
        </w:rPr>
        <w:t>La audiencia preparatoria deberá realizarse por el juez de conocimiento a más tardar dentro de los cuarenta y cinco (45) días siguientes a la audiencia de formulación de acusación.</w:t>
      </w:r>
    </w:p>
    <w:p w14:paraId="30A1C418"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r w:rsidRPr="00237B73">
        <w:rPr>
          <w:rFonts w:ascii="Century Gothic" w:eastAsiaTheme="minorHAnsi" w:hAnsi="Century Gothic" w:cs="Arial"/>
          <w:color w:val="000000" w:themeColor="text1"/>
          <w:sz w:val="22"/>
          <w:szCs w:val="22"/>
          <w:lang w:val="es-MX" w:eastAsia="es-ES"/>
        </w:rPr>
        <w:t>La audiencia del juicio oral deberá iniciarse dentro de los cuarenta y cinco (45) días siguientes a la conclusión de la audiencia preparatoria.</w:t>
      </w:r>
    </w:p>
    <w:p w14:paraId="48EC9C4B"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r w:rsidRPr="00237B73">
        <w:rPr>
          <w:rFonts w:ascii="Century Gothic" w:eastAsiaTheme="minorHAnsi" w:hAnsi="Century Gothic" w:cs="Arial"/>
          <w:color w:val="000000" w:themeColor="text1"/>
          <w:sz w:val="22"/>
          <w:szCs w:val="22"/>
          <w:lang w:val="es-MX" w:eastAsia="es-ES"/>
        </w:rPr>
        <w:t xml:space="preserve">PARÁGRAFO </w:t>
      </w:r>
      <w:r w:rsidRPr="00237B73">
        <w:rPr>
          <w:rFonts w:ascii="Century Gothic" w:eastAsiaTheme="minorHAnsi" w:hAnsi="Century Gothic" w:cs="Arial"/>
          <w:b/>
          <w:color w:val="000000" w:themeColor="text1"/>
          <w:sz w:val="22"/>
          <w:szCs w:val="22"/>
          <w:u w:val="single"/>
          <w:lang w:val="es-MX" w:eastAsia="es-ES"/>
        </w:rPr>
        <w:t>1o. </w:t>
      </w:r>
      <w:r w:rsidRPr="00237B73">
        <w:rPr>
          <w:rFonts w:ascii="Century Gothic" w:eastAsiaTheme="minorHAnsi" w:hAnsi="Century Gothic" w:cs="Arial"/>
          <w:color w:val="000000" w:themeColor="text1"/>
          <w:sz w:val="22"/>
          <w:szCs w:val="22"/>
          <w:lang w:val="es-MX" w:eastAsia="es-ES"/>
        </w:rPr>
        <w:t>La Fiscalía tendrá un término máximo de dos años contados a partir de la recepción de la noticia criminis para formular imputación u ordenar motivadamente el archivo de la indagación. Este término máximo será de tres años cuando se presente concurso de delitos, o cuando sean tres o más los imputados. Cuando se trate de investigaciones por delitos que sean de competencia de los jueces penales del circuito especializado el término máximo será de cinco años.</w:t>
      </w:r>
    </w:p>
    <w:p w14:paraId="3834BF57" w14:textId="77777777" w:rsidR="00237B73" w:rsidRPr="00237B73" w:rsidRDefault="00237B73" w:rsidP="00237B73">
      <w:pPr>
        <w:pStyle w:val="NormalWeb"/>
        <w:spacing w:line="270" w:lineRule="atLeast"/>
        <w:ind w:left="284" w:right="284"/>
        <w:jc w:val="both"/>
        <w:rPr>
          <w:rFonts w:ascii="Century Gothic" w:eastAsiaTheme="minorHAnsi" w:hAnsi="Century Gothic" w:cs="Arial"/>
          <w:b/>
          <w:color w:val="000000" w:themeColor="text1"/>
          <w:sz w:val="22"/>
          <w:szCs w:val="22"/>
          <w:u w:val="single"/>
          <w:lang w:val="es-MX" w:eastAsia="es-ES"/>
        </w:rPr>
      </w:pPr>
      <w:r w:rsidRPr="00237B73">
        <w:rPr>
          <w:rFonts w:ascii="Century Gothic" w:eastAsiaTheme="minorHAnsi" w:hAnsi="Century Gothic" w:cs="Arial"/>
          <w:b/>
          <w:color w:val="000000" w:themeColor="text1"/>
          <w:sz w:val="22"/>
          <w:szCs w:val="22"/>
          <w:u w:val="single"/>
          <w:lang w:val="es-MX" w:eastAsia="es-ES"/>
        </w:rPr>
        <w:lastRenderedPageBreak/>
        <w:t xml:space="preserve">PARÁGRAFO 2o. Tratándose de las conductas punibles de homicidio o de delitos contra la libertad, integridad y formación sexual, perpetrados contra menores de dieciocho (18) años, la Fiscalía tendrá un término de seis (6) meses contados a partir de la recepción de la noticia criminal para formular la imputación u ordenar mediante decisión motivada el archivo de la indagación, prorrogables por una sola vez hasta por seis (6) meses más cuando la Fiscalía demuestre que pese a sus esfuerzos aún no cuenta con suficientes elementos materiales probatorios, evidencia física o información legalmente obtenida para inferir razonablemente que el indiciado es autor o partícipe del delito que se investiga. </w:t>
      </w:r>
    </w:p>
    <w:p w14:paraId="5A9D3B21" w14:textId="77777777" w:rsidR="00237B73" w:rsidRPr="00237B73" w:rsidRDefault="00237B73" w:rsidP="00237B73">
      <w:pPr>
        <w:pStyle w:val="NormalWeb"/>
        <w:spacing w:line="270" w:lineRule="atLeast"/>
        <w:ind w:left="284" w:right="284"/>
        <w:jc w:val="both"/>
        <w:rPr>
          <w:rFonts w:ascii="Century Gothic" w:eastAsiaTheme="minorHAnsi" w:hAnsi="Century Gothic" w:cs="Arial"/>
          <w:b/>
          <w:color w:val="000000" w:themeColor="text1"/>
          <w:sz w:val="22"/>
          <w:szCs w:val="22"/>
          <w:u w:val="single"/>
          <w:lang w:val="es-MX" w:eastAsia="es-ES"/>
        </w:rPr>
      </w:pPr>
      <w:r w:rsidRPr="00237B73">
        <w:rPr>
          <w:rFonts w:ascii="Century Gothic" w:eastAsiaTheme="minorHAnsi" w:hAnsi="Century Gothic" w:cs="Arial"/>
          <w:b/>
          <w:color w:val="000000" w:themeColor="text1"/>
          <w:sz w:val="22"/>
          <w:szCs w:val="22"/>
          <w:u w:val="single"/>
          <w:lang w:val="es-MX" w:eastAsia="es-ES"/>
        </w:rPr>
        <w:t xml:space="preserve">Si transcurrido tal periodo, la situación permanece sin definición, el fiscal que esté conociendo del proceso será relevado del caso por otro fiscal, quien deberá resolver sobre la formulación de imputación o el archivo de las diligencias en un término perentorio de sesenta (60) días, sin perjuicio de las sanciones a que haya lugar para el fiscal sustituido de la actuación. </w:t>
      </w:r>
    </w:p>
    <w:p w14:paraId="5CF2489D" w14:textId="77777777" w:rsidR="00237B73" w:rsidRPr="00237B73" w:rsidRDefault="00237B73" w:rsidP="00237B73">
      <w:pPr>
        <w:pStyle w:val="NormalWeb"/>
        <w:spacing w:line="270" w:lineRule="atLeast"/>
        <w:ind w:left="284" w:right="284"/>
        <w:jc w:val="both"/>
        <w:rPr>
          <w:rFonts w:ascii="Century Gothic" w:eastAsiaTheme="minorHAnsi" w:hAnsi="Century Gothic" w:cs="Arial"/>
          <w:b/>
          <w:color w:val="000000" w:themeColor="text1"/>
          <w:sz w:val="22"/>
          <w:szCs w:val="22"/>
          <w:u w:val="single"/>
          <w:lang w:val="es-MX" w:eastAsia="es-ES"/>
        </w:rPr>
      </w:pPr>
      <w:r w:rsidRPr="00237B73">
        <w:rPr>
          <w:rFonts w:ascii="Century Gothic" w:eastAsiaTheme="minorHAnsi" w:hAnsi="Century Gothic" w:cs="Arial"/>
          <w:b/>
          <w:color w:val="000000" w:themeColor="text1"/>
          <w:sz w:val="22"/>
          <w:szCs w:val="22"/>
          <w:u w:val="single"/>
          <w:lang w:val="es-MX" w:eastAsia="es-ES"/>
        </w:rPr>
        <w:t xml:space="preserve">Lo previsto en este parágrafo no obstará para que se pueda disponer la reapertura del caso cuando exista mérito para ello. </w:t>
      </w:r>
    </w:p>
    <w:p w14:paraId="55D890E4"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r w:rsidRPr="00237B73">
        <w:rPr>
          <w:rFonts w:ascii="Century Gothic" w:eastAsiaTheme="minorHAnsi" w:hAnsi="Century Gothic" w:cs="Arial"/>
          <w:color w:val="000000" w:themeColor="text1"/>
          <w:sz w:val="22"/>
          <w:szCs w:val="22"/>
          <w:lang w:val="es-MX" w:eastAsia="es-ES"/>
        </w:rPr>
        <w:t xml:space="preserve">PARÁGRAFO </w:t>
      </w:r>
      <w:r w:rsidRPr="00237B73">
        <w:rPr>
          <w:rFonts w:ascii="Century Gothic" w:eastAsiaTheme="minorHAnsi" w:hAnsi="Century Gothic" w:cs="Arial"/>
          <w:b/>
          <w:color w:val="000000" w:themeColor="text1"/>
          <w:sz w:val="22"/>
          <w:szCs w:val="22"/>
          <w:u w:val="single"/>
          <w:lang w:val="es-MX" w:eastAsia="es-ES"/>
        </w:rPr>
        <w:t>3o.</w:t>
      </w:r>
      <w:r w:rsidRPr="00237B73">
        <w:rPr>
          <w:rFonts w:ascii="Century Gothic" w:eastAsiaTheme="minorHAnsi" w:hAnsi="Century Gothic" w:cs="Arial"/>
          <w:color w:val="000000" w:themeColor="text1"/>
          <w:sz w:val="22"/>
          <w:szCs w:val="22"/>
          <w:lang w:val="es-MX" w:eastAsia="es-ES"/>
        </w:rPr>
        <w:t xml:space="preserve"> En los procesos por delitos de competencia de los jueces penales del circuito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investigación”.</w:t>
      </w:r>
    </w:p>
    <w:p w14:paraId="703B5D35" w14:textId="77777777" w:rsidR="00237B73" w:rsidRPr="00237B73" w:rsidRDefault="00237B73" w:rsidP="00237B73">
      <w:pPr>
        <w:spacing w:before="100" w:beforeAutospacing="1" w:after="100" w:afterAutospacing="1" w:line="270" w:lineRule="atLeast"/>
        <w:ind w:left="284" w:right="284"/>
        <w:jc w:val="both"/>
        <w:rPr>
          <w:rFonts w:ascii="Century Gothic" w:hAnsi="Century Gothic" w:cs="Arial"/>
          <w:color w:val="000000" w:themeColor="text1"/>
          <w:sz w:val="22"/>
          <w:szCs w:val="22"/>
          <w:lang w:val="es-MX"/>
        </w:rPr>
      </w:pPr>
    </w:p>
    <w:p w14:paraId="3073A70D" w14:textId="77777777" w:rsidR="00237B73" w:rsidRPr="00237B73" w:rsidRDefault="00237B73" w:rsidP="00237B73">
      <w:pPr>
        <w:spacing w:line="276" w:lineRule="auto"/>
        <w:jc w:val="both"/>
        <w:rPr>
          <w:rFonts w:ascii="Century Gothic" w:hAnsi="Century Gothic" w:cs="Arial"/>
          <w:color w:val="000000" w:themeColor="text1"/>
          <w:sz w:val="22"/>
          <w:szCs w:val="22"/>
        </w:rPr>
      </w:pPr>
      <w:r w:rsidRPr="00237B73">
        <w:rPr>
          <w:rFonts w:ascii="Century Gothic" w:hAnsi="Century Gothic" w:cs="Arial"/>
          <w:b/>
          <w:color w:val="000000" w:themeColor="text1"/>
          <w:sz w:val="22"/>
          <w:szCs w:val="22"/>
          <w:lang w:val="es-MX"/>
        </w:rPr>
        <w:t xml:space="preserve">ARTÍCULO 2. </w:t>
      </w:r>
      <w:r w:rsidRPr="00237B73">
        <w:rPr>
          <w:rFonts w:ascii="Century Gothic" w:hAnsi="Century Gothic" w:cs="Arial"/>
          <w:color w:val="000000" w:themeColor="text1"/>
          <w:sz w:val="22"/>
          <w:szCs w:val="22"/>
        </w:rPr>
        <w:t>Modifíquese el artículo 201 de la Ley 906 de 2004, el cual quedará así:</w:t>
      </w:r>
    </w:p>
    <w:p w14:paraId="5FDC6DAB" w14:textId="35930096" w:rsidR="00237B73" w:rsidRPr="00237B73" w:rsidRDefault="00237B73" w:rsidP="00237B73">
      <w:pPr>
        <w:spacing w:before="100" w:beforeAutospacing="1" w:after="100" w:afterAutospacing="1" w:line="270" w:lineRule="atLeast"/>
        <w:ind w:left="284" w:right="284"/>
        <w:jc w:val="both"/>
        <w:rPr>
          <w:rFonts w:ascii="Century Gothic" w:hAnsi="Century Gothic" w:cs="Arial"/>
          <w:color w:val="000000" w:themeColor="text1"/>
          <w:sz w:val="22"/>
          <w:szCs w:val="22"/>
          <w:lang w:val="es-MX"/>
        </w:rPr>
      </w:pPr>
      <w:bookmarkStart w:id="3" w:name="201"/>
      <w:r w:rsidRPr="00237B73">
        <w:rPr>
          <w:rFonts w:ascii="Century Gothic" w:hAnsi="Century Gothic" w:cs="Arial"/>
          <w:b/>
          <w:color w:val="000000" w:themeColor="text1"/>
          <w:sz w:val="22"/>
          <w:szCs w:val="22"/>
          <w:lang w:val="es-MX"/>
        </w:rPr>
        <w:t>“ARTÍCULO 201. ÓRGANOS DE POLICÍA JUDICIAL PERMANENTE.</w:t>
      </w:r>
      <w:bookmarkEnd w:id="3"/>
      <w:r w:rsidRPr="00237B73">
        <w:rPr>
          <w:rFonts w:ascii="Century Gothic" w:hAnsi="Century Gothic" w:cs="Arial"/>
          <w:b/>
          <w:color w:val="000000" w:themeColor="text1"/>
          <w:sz w:val="22"/>
          <w:szCs w:val="22"/>
          <w:lang w:val="es-MX"/>
        </w:rPr>
        <w:t> </w:t>
      </w:r>
      <w:r w:rsidRPr="00237B73">
        <w:rPr>
          <w:rFonts w:ascii="Century Gothic" w:hAnsi="Century Gothic" w:cs="Arial"/>
          <w:color w:val="000000" w:themeColor="text1"/>
          <w:sz w:val="22"/>
          <w:szCs w:val="22"/>
          <w:lang w:val="es-MX"/>
        </w:rPr>
        <w:t xml:space="preserve">Ejercen permanentemente las funciones de policía judicial los servidores investidos de esa función, pertenecientes al Cuerpo Técnico de Investigación de la Fiscalía General de la Nación </w:t>
      </w:r>
      <w:r w:rsidRPr="0056781D">
        <w:rPr>
          <w:rFonts w:ascii="Century Gothic" w:hAnsi="Century Gothic" w:cs="Arial"/>
          <w:color w:val="000000" w:themeColor="text1"/>
          <w:sz w:val="22"/>
          <w:szCs w:val="22"/>
          <w:lang w:val="es-MX"/>
        </w:rPr>
        <w:t xml:space="preserve">y </w:t>
      </w:r>
      <w:r w:rsidRPr="00237B73">
        <w:rPr>
          <w:rFonts w:ascii="Century Gothic" w:hAnsi="Century Gothic" w:cs="Arial"/>
          <w:color w:val="000000" w:themeColor="text1"/>
          <w:sz w:val="22"/>
          <w:szCs w:val="22"/>
          <w:lang w:val="es-MX"/>
        </w:rPr>
        <w:t>a la Policía Nacional, por intermedio de sus dependencias especializadas.</w:t>
      </w:r>
    </w:p>
    <w:p w14:paraId="2668320F" w14:textId="77777777" w:rsidR="00237B73" w:rsidRPr="00237B73" w:rsidRDefault="00237B73" w:rsidP="00237B73">
      <w:pPr>
        <w:spacing w:before="100" w:beforeAutospacing="1" w:after="100" w:afterAutospacing="1" w:line="270" w:lineRule="atLeast"/>
        <w:ind w:left="284" w:right="284"/>
        <w:jc w:val="both"/>
        <w:rPr>
          <w:rFonts w:ascii="Century Gothic" w:hAnsi="Century Gothic" w:cs="Arial"/>
          <w:color w:val="000000" w:themeColor="text1"/>
          <w:sz w:val="22"/>
          <w:szCs w:val="22"/>
          <w:lang w:val="es-MX"/>
        </w:rPr>
      </w:pPr>
      <w:r w:rsidRPr="00237B73">
        <w:rPr>
          <w:rFonts w:ascii="Century Gothic" w:hAnsi="Century Gothic" w:cs="Arial"/>
          <w:color w:val="000000" w:themeColor="text1"/>
          <w:sz w:val="22"/>
          <w:szCs w:val="22"/>
          <w:lang w:val="es-MX"/>
        </w:rPr>
        <w:t>PARÁGRAFO</w:t>
      </w:r>
      <w:r w:rsidRPr="00237B73">
        <w:rPr>
          <w:rFonts w:ascii="Century Gothic" w:hAnsi="Century Gothic" w:cs="Arial"/>
          <w:b/>
          <w:color w:val="000000" w:themeColor="text1"/>
          <w:sz w:val="22"/>
          <w:szCs w:val="22"/>
          <w:u w:val="single"/>
          <w:lang w:val="es-MX"/>
        </w:rPr>
        <w:t>1o. </w:t>
      </w:r>
      <w:r w:rsidRPr="00237B73">
        <w:rPr>
          <w:rFonts w:ascii="Century Gothic" w:hAnsi="Century Gothic" w:cs="Arial"/>
          <w:color w:val="000000" w:themeColor="text1"/>
          <w:sz w:val="22"/>
          <w:szCs w:val="22"/>
          <w:lang w:val="es-MX"/>
        </w:rPr>
        <w:t>En los lugares del territorio nacional donde no hubiere miembros de policía judicial de la Policía Nacional, estas funciones las podrá ejercer la Policía Nacional.</w:t>
      </w:r>
    </w:p>
    <w:p w14:paraId="0655235F" w14:textId="77777777" w:rsidR="00237B73" w:rsidRPr="00237B73" w:rsidRDefault="00237B73" w:rsidP="00237B73">
      <w:pPr>
        <w:spacing w:before="100" w:beforeAutospacing="1" w:after="100" w:afterAutospacing="1" w:line="270" w:lineRule="atLeast"/>
        <w:ind w:left="284" w:right="284"/>
        <w:jc w:val="both"/>
        <w:rPr>
          <w:rFonts w:ascii="Century Gothic" w:hAnsi="Century Gothic" w:cs="Arial"/>
          <w:b/>
          <w:color w:val="000000" w:themeColor="text1"/>
          <w:sz w:val="22"/>
          <w:szCs w:val="22"/>
          <w:u w:val="single"/>
          <w:lang w:val="es-MX"/>
        </w:rPr>
      </w:pPr>
      <w:r w:rsidRPr="00237B73">
        <w:rPr>
          <w:rFonts w:ascii="Century Gothic" w:hAnsi="Century Gothic" w:cs="Arial"/>
          <w:b/>
          <w:color w:val="000000" w:themeColor="text1"/>
          <w:sz w:val="22"/>
          <w:szCs w:val="22"/>
          <w:u w:val="single"/>
          <w:lang w:val="es-MX"/>
        </w:rPr>
        <w:t xml:space="preserve">PARÁGRAFO 2o. El Cuerpo Técnico de Investigación de la Fiscalía General de la Nación contará con una Unidad Especial de Investigación de delitos de alto impacto cometidos contra la Infancia y la Adolescencia, con equipos técnicos y profesionales suficientes e idóneos para desarrollar el programa metodológico trazado por el ente acusador. Esta Unidad Especial funcionará </w:t>
      </w:r>
      <w:r w:rsidRPr="00237B73">
        <w:rPr>
          <w:rFonts w:ascii="Century Gothic" w:hAnsi="Century Gothic" w:cs="Arial"/>
          <w:b/>
          <w:color w:val="000000" w:themeColor="text1"/>
          <w:sz w:val="22"/>
          <w:szCs w:val="22"/>
          <w:u w:val="single"/>
          <w:lang w:val="es-MX"/>
        </w:rPr>
        <w:lastRenderedPageBreak/>
        <w:t xml:space="preserve">de conformidad con lo normado en la ley y en el estatuto orgánico de la Fiscalía General de la Nación. </w:t>
      </w:r>
    </w:p>
    <w:p w14:paraId="0B3AB6A7" w14:textId="77777777" w:rsidR="00237B73" w:rsidRPr="00237B73" w:rsidRDefault="00237B73" w:rsidP="00237B73">
      <w:pPr>
        <w:spacing w:before="100" w:beforeAutospacing="1" w:after="100" w:afterAutospacing="1" w:line="270" w:lineRule="atLeast"/>
        <w:ind w:left="284" w:right="284"/>
        <w:jc w:val="both"/>
        <w:rPr>
          <w:rFonts w:ascii="Century Gothic" w:hAnsi="Century Gothic" w:cs="Arial"/>
          <w:b/>
          <w:color w:val="000000" w:themeColor="text1"/>
          <w:sz w:val="22"/>
          <w:szCs w:val="22"/>
          <w:u w:val="single"/>
          <w:lang w:val="es-MX"/>
        </w:rPr>
      </w:pPr>
      <w:r w:rsidRPr="00237B73">
        <w:rPr>
          <w:rFonts w:ascii="Century Gothic" w:hAnsi="Century Gothic" w:cs="Arial"/>
          <w:b/>
          <w:color w:val="000000" w:themeColor="text1"/>
          <w:sz w:val="22"/>
          <w:szCs w:val="22"/>
          <w:u w:val="single"/>
          <w:lang w:val="es-MX"/>
        </w:rPr>
        <w:t xml:space="preserve">En el Presupuesto General de la Nación se deberá garantizar de manera progresiva un porcentaje razonable para la financiación de esta Unidad Especial y en general para la consecución de las labores de investigación por parte de la Fiscalía General de la Nación. </w:t>
      </w:r>
    </w:p>
    <w:p w14:paraId="667DCE8D" w14:textId="77777777" w:rsidR="00237B73" w:rsidRPr="00237B73" w:rsidRDefault="00237B73" w:rsidP="00237B73">
      <w:pPr>
        <w:pStyle w:val="NormalWeb"/>
        <w:spacing w:line="270" w:lineRule="atLeast"/>
        <w:ind w:left="284" w:right="284"/>
        <w:jc w:val="both"/>
        <w:rPr>
          <w:rFonts w:ascii="Century Gothic" w:eastAsiaTheme="minorHAnsi" w:hAnsi="Century Gothic" w:cs="Arial"/>
          <w:color w:val="000000" w:themeColor="text1"/>
          <w:sz w:val="22"/>
          <w:szCs w:val="22"/>
          <w:lang w:val="es-MX" w:eastAsia="es-ES"/>
        </w:rPr>
      </w:pPr>
    </w:p>
    <w:p w14:paraId="109CA0EC" w14:textId="66A605D8" w:rsidR="00237B73" w:rsidRDefault="00237B73" w:rsidP="00237B73">
      <w:pPr>
        <w:spacing w:before="100" w:beforeAutospacing="1" w:after="100" w:afterAutospacing="1" w:line="270" w:lineRule="atLeast"/>
        <w:jc w:val="both"/>
        <w:rPr>
          <w:rStyle w:val="A3"/>
          <w:rFonts w:ascii="Century Gothic" w:hAnsi="Century Gothic" w:cs="Arial"/>
          <w:color w:val="000000" w:themeColor="text1"/>
          <w:sz w:val="22"/>
          <w:szCs w:val="22"/>
        </w:rPr>
      </w:pPr>
      <w:bookmarkStart w:id="4" w:name="4"/>
      <w:bookmarkEnd w:id="1"/>
      <w:r w:rsidRPr="00237B73">
        <w:rPr>
          <w:rStyle w:val="A3"/>
          <w:rFonts w:ascii="Century Gothic" w:hAnsi="Century Gothic" w:cs="Arial"/>
          <w:b/>
          <w:color w:val="000000" w:themeColor="text1"/>
          <w:sz w:val="22"/>
          <w:szCs w:val="22"/>
        </w:rPr>
        <w:t>ARTÍCULO 3. </w:t>
      </w:r>
      <w:r w:rsidRPr="00237B73">
        <w:rPr>
          <w:rStyle w:val="A3"/>
          <w:rFonts w:ascii="Century Gothic" w:hAnsi="Century Gothic" w:cs="Arial"/>
          <w:color w:val="000000" w:themeColor="text1"/>
          <w:sz w:val="22"/>
          <w:szCs w:val="22"/>
        </w:rPr>
        <w:t xml:space="preserve">Establézcase el término perentorio de un (1) año contado a partir de la vigencia de la presente Ley para que la Fiscalía General de la Nación proceda con la reglamentación e implementación de lo aquí previsto. </w:t>
      </w:r>
      <w:bookmarkEnd w:id="4"/>
    </w:p>
    <w:p w14:paraId="0A3B2F9A" w14:textId="77777777" w:rsidR="008A3E08" w:rsidRPr="00237B73" w:rsidRDefault="008A3E08" w:rsidP="00237B73">
      <w:pPr>
        <w:spacing w:before="100" w:beforeAutospacing="1" w:after="100" w:afterAutospacing="1" w:line="270" w:lineRule="atLeast"/>
        <w:jc w:val="both"/>
        <w:rPr>
          <w:rFonts w:ascii="Century Gothic" w:hAnsi="Century Gothic" w:cs="Arial"/>
          <w:color w:val="000000" w:themeColor="text1"/>
          <w:sz w:val="22"/>
          <w:szCs w:val="22"/>
        </w:rPr>
      </w:pPr>
    </w:p>
    <w:p w14:paraId="63D6425E" w14:textId="77777777" w:rsidR="00237B73" w:rsidRPr="00237B73" w:rsidRDefault="00237B73" w:rsidP="00237B73">
      <w:pPr>
        <w:spacing w:line="276" w:lineRule="auto"/>
        <w:jc w:val="both"/>
        <w:rPr>
          <w:rFonts w:ascii="Century Gothic" w:hAnsi="Century Gothic" w:cs="Arial"/>
          <w:b/>
          <w:color w:val="000000" w:themeColor="text1"/>
          <w:sz w:val="22"/>
          <w:szCs w:val="22"/>
        </w:rPr>
      </w:pPr>
      <w:r w:rsidRPr="00237B73">
        <w:rPr>
          <w:rFonts w:ascii="Century Gothic" w:hAnsi="Century Gothic" w:cs="Arial"/>
          <w:b/>
          <w:color w:val="000000" w:themeColor="text1"/>
          <w:sz w:val="22"/>
          <w:szCs w:val="22"/>
        </w:rPr>
        <w:t>ARTÍCULO 4.</w:t>
      </w:r>
      <w:r w:rsidRPr="00237B73">
        <w:rPr>
          <w:rFonts w:ascii="Century Gothic" w:hAnsi="Century Gothic" w:cs="Arial"/>
          <w:color w:val="000000" w:themeColor="text1"/>
          <w:sz w:val="22"/>
          <w:szCs w:val="22"/>
        </w:rPr>
        <w:t xml:space="preserve"> </w:t>
      </w:r>
      <w:r w:rsidRPr="00237B73">
        <w:rPr>
          <w:rFonts w:ascii="Century Gothic" w:hAnsi="Century Gothic" w:cs="Arial"/>
          <w:b/>
          <w:color w:val="000000" w:themeColor="text1"/>
          <w:sz w:val="22"/>
          <w:szCs w:val="22"/>
        </w:rPr>
        <w:t xml:space="preserve">VIGENCIA Y DEROGATORIAS. </w:t>
      </w:r>
      <w:r w:rsidRPr="00237B73">
        <w:rPr>
          <w:rStyle w:val="A3"/>
          <w:rFonts w:ascii="Century Gothic" w:hAnsi="Century Gothic" w:cs="Arial"/>
          <w:color w:val="000000" w:themeColor="text1"/>
          <w:sz w:val="22"/>
          <w:szCs w:val="22"/>
        </w:rPr>
        <w:t>La presente Ley rige a partir de su promulgación y deroga todas las disposiciones que le sean contrarias.</w:t>
      </w:r>
    </w:p>
    <w:p w14:paraId="2DBCF8AD" w14:textId="77777777" w:rsidR="00237B73" w:rsidRPr="00237B73" w:rsidRDefault="00237B73" w:rsidP="00237B73">
      <w:pPr>
        <w:spacing w:line="276" w:lineRule="auto"/>
        <w:rPr>
          <w:rFonts w:ascii="Century Gothic" w:hAnsi="Century Gothic" w:cs="Arial"/>
          <w:color w:val="000000" w:themeColor="text1"/>
          <w:sz w:val="22"/>
          <w:szCs w:val="22"/>
        </w:rPr>
      </w:pPr>
    </w:p>
    <w:p w14:paraId="459CC73C" w14:textId="77777777" w:rsidR="00237B73" w:rsidRPr="00237B73" w:rsidRDefault="00237B73" w:rsidP="00237B73">
      <w:pPr>
        <w:spacing w:line="276" w:lineRule="auto"/>
        <w:rPr>
          <w:rFonts w:ascii="Century Gothic" w:hAnsi="Century Gothic" w:cs="Arial"/>
          <w:color w:val="000000" w:themeColor="text1"/>
          <w:sz w:val="22"/>
          <w:szCs w:val="22"/>
        </w:rPr>
      </w:pPr>
      <w:r w:rsidRPr="00237B73">
        <w:rPr>
          <w:rFonts w:ascii="Century Gothic" w:hAnsi="Century Gothic" w:cs="Arial"/>
          <w:color w:val="000000" w:themeColor="text1"/>
          <w:sz w:val="22"/>
          <w:szCs w:val="22"/>
        </w:rPr>
        <w:t>De los Honorables Congresistas,</w:t>
      </w:r>
    </w:p>
    <w:p w14:paraId="56E681D5" w14:textId="77777777" w:rsidR="00FD3C4C" w:rsidRDefault="00FD3C4C" w:rsidP="00FD3C4C">
      <w:pPr>
        <w:spacing w:line="276" w:lineRule="auto"/>
        <w:jc w:val="both"/>
      </w:pPr>
    </w:p>
    <w:p w14:paraId="640FB21A" w14:textId="628A4F0B" w:rsidR="00FD3C4C" w:rsidRDefault="00FD3C4C" w:rsidP="00FD3C4C"/>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B09C5" w:rsidRPr="008B5447" w14:paraId="1BDA7C69" w14:textId="77777777" w:rsidTr="00182747">
        <w:trPr>
          <w:trHeight w:val="1385"/>
        </w:trPr>
        <w:tc>
          <w:tcPr>
            <w:tcW w:w="4535" w:type="dxa"/>
          </w:tcPr>
          <w:p w14:paraId="273FDC2F" w14:textId="1A3446BC" w:rsidR="004B09C5" w:rsidRDefault="004B09C5" w:rsidP="00182747">
            <w:pPr>
              <w:jc w:val="center"/>
              <w:rPr>
                <w:rFonts w:ascii="Century Gothic" w:hAnsi="Century Gothic" w:cs="Arial"/>
                <w:b/>
              </w:rPr>
            </w:pPr>
          </w:p>
          <w:p w14:paraId="7B288859" w14:textId="3F191BA4" w:rsidR="004B09C5" w:rsidRPr="008B5447" w:rsidRDefault="004B09C5" w:rsidP="00182747">
            <w:pPr>
              <w:rPr>
                <w:rFonts w:ascii="Century Gothic" w:hAnsi="Century Gothic" w:cs="Arial"/>
                <w:b/>
              </w:rPr>
            </w:pPr>
          </w:p>
          <w:p w14:paraId="5D03ADF9" w14:textId="77777777" w:rsidR="004B09C5" w:rsidRPr="008B5447" w:rsidRDefault="004B09C5" w:rsidP="00182747">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1361C2B" w14:textId="77777777" w:rsidR="004B09C5" w:rsidRDefault="004B09C5" w:rsidP="00182747">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p>
          <w:p w14:paraId="43E3A158" w14:textId="77777777" w:rsidR="004B09C5" w:rsidRDefault="004B09C5" w:rsidP="00182747">
            <w:pPr>
              <w:rPr>
                <w:noProof/>
                <w:lang w:val="es-ES"/>
              </w:rPr>
            </w:pPr>
            <w:r>
              <w:rPr>
                <w:rFonts w:ascii="Century Gothic" w:hAnsi="Century Gothic" w:cs="Arial"/>
                <w:bCs/>
              </w:rPr>
              <w:t xml:space="preserve">              </w:t>
            </w:r>
            <w:r w:rsidRPr="00BE754E">
              <w:rPr>
                <w:rFonts w:ascii="Century Gothic" w:hAnsi="Century Gothic" w:cs="Arial"/>
                <w:bCs/>
              </w:rPr>
              <w:t>Ponente Coordinador</w:t>
            </w:r>
          </w:p>
        </w:tc>
        <w:tc>
          <w:tcPr>
            <w:tcW w:w="4535" w:type="dxa"/>
          </w:tcPr>
          <w:p w14:paraId="4D706F25" w14:textId="77777777" w:rsidR="004B09C5" w:rsidRDefault="004B09C5" w:rsidP="00182747">
            <w:pPr>
              <w:rPr>
                <w:rFonts w:ascii="Century Gothic" w:hAnsi="Century Gothic" w:cs="Arial"/>
                <w:bCs/>
                <w:color w:val="000000"/>
                <w:bdr w:val="none" w:sz="0" w:space="0" w:color="auto" w:frame="1"/>
                <w:shd w:val="clear" w:color="auto" w:fill="FFFFFF"/>
              </w:rPr>
            </w:pPr>
          </w:p>
          <w:p w14:paraId="6D64B608" w14:textId="77777777" w:rsidR="004B09C5" w:rsidRDefault="004B09C5" w:rsidP="00182747">
            <w:pPr>
              <w:rPr>
                <w:rFonts w:ascii="Century Gothic" w:hAnsi="Century Gothic" w:cs="Arial"/>
                <w:bCs/>
                <w:color w:val="000000"/>
                <w:bdr w:val="none" w:sz="0" w:space="0" w:color="auto" w:frame="1"/>
                <w:shd w:val="clear" w:color="auto" w:fill="FFFFFF"/>
              </w:rPr>
            </w:pPr>
          </w:p>
          <w:p w14:paraId="4BA837B5" w14:textId="77777777" w:rsidR="004B09C5" w:rsidRPr="008B5447" w:rsidRDefault="004B09C5" w:rsidP="00182747">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w:t>
            </w:r>
          </w:p>
          <w:p w14:paraId="0F6DFCB0" w14:textId="77777777" w:rsidR="004B09C5" w:rsidRPr="008B5447" w:rsidRDefault="004B09C5" w:rsidP="00182747">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 xml:space="preserve"> ERWIN ARIAS BETANCUR</w:t>
            </w:r>
            <w:r w:rsidRPr="008B5447">
              <w:rPr>
                <w:rFonts w:ascii="Century Gothic" w:hAnsi="Century Gothic" w:cs="Arial"/>
                <w:b/>
                <w:color w:val="000000"/>
                <w:bdr w:val="none" w:sz="0" w:space="0" w:color="auto" w:frame="1"/>
                <w:shd w:val="clear" w:color="auto" w:fill="FFFFFF"/>
              </w:rPr>
              <w:t xml:space="preserve"> </w:t>
            </w:r>
          </w:p>
          <w:p w14:paraId="0983AEED" w14:textId="77777777" w:rsidR="004B09C5" w:rsidRPr="00BE754E" w:rsidRDefault="004B09C5" w:rsidP="00182747">
            <w:pPr>
              <w:jc w:val="center"/>
              <w:rPr>
                <w:rFonts w:ascii="Century Gothic" w:hAnsi="Century Gothic" w:cs="Arial"/>
                <w:bCs/>
                <w:color w:val="000000"/>
                <w:bdr w:val="none" w:sz="0" w:space="0" w:color="auto" w:frame="1"/>
                <w:shd w:val="clear" w:color="auto" w:fill="FFFFFF"/>
              </w:rPr>
            </w:pPr>
            <w:r w:rsidRPr="00BE754E">
              <w:rPr>
                <w:rFonts w:ascii="Century Gothic" w:hAnsi="Century Gothic" w:cs="Arial"/>
                <w:bCs/>
              </w:rPr>
              <w:t>Ponente Coordinador</w:t>
            </w:r>
          </w:p>
        </w:tc>
      </w:tr>
    </w:tbl>
    <w:p w14:paraId="27E39878" w14:textId="77777777" w:rsidR="004B09C5" w:rsidRDefault="004B09C5" w:rsidP="004B09C5">
      <w:pPr>
        <w:rPr>
          <w:rFonts w:ascii="Century Gothic" w:hAnsi="Century Gothic" w:cs="Arial"/>
        </w:rPr>
      </w:pPr>
    </w:p>
    <w:p w14:paraId="24047BC6" w14:textId="77777777" w:rsidR="004B09C5" w:rsidRDefault="004B09C5" w:rsidP="004B09C5">
      <w:pPr>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B09C5" w:rsidRPr="008B5447" w14:paraId="5ED0A255" w14:textId="77777777" w:rsidTr="00182747">
        <w:trPr>
          <w:trHeight w:val="615"/>
        </w:trPr>
        <w:tc>
          <w:tcPr>
            <w:tcW w:w="4535" w:type="dxa"/>
          </w:tcPr>
          <w:p w14:paraId="26793A92" w14:textId="77777777" w:rsidR="004B09C5" w:rsidRPr="008B5447" w:rsidRDefault="004B09C5" w:rsidP="00182747">
            <w:pPr>
              <w:rPr>
                <w:rFonts w:ascii="Century Gothic" w:hAnsi="Century Gothic" w:cs="Arial"/>
                <w:bCs/>
                <w:color w:val="000000"/>
                <w:bdr w:val="none" w:sz="0" w:space="0" w:color="auto" w:frame="1"/>
                <w:shd w:val="clear" w:color="auto" w:fill="FFFFFF"/>
              </w:rPr>
            </w:pPr>
          </w:p>
          <w:p w14:paraId="13C8BC79" w14:textId="77777777" w:rsidR="004B09C5" w:rsidRPr="008B5447" w:rsidRDefault="004B09C5" w:rsidP="00182747">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______________________________</w:t>
            </w:r>
          </w:p>
          <w:p w14:paraId="16F321BC" w14:textId="77777777" w:rsidR="004B09C5" w:rsidRDefault="004B09C5" w:rsidP="00182747">
            <w:pPr>
              <w:jc w:val="center"/>
              <w:rPr>
                <w:rFonts w:ascii="Century Gothic" w:hAnsi="Century Gothic" w:cs="Arial"/>
                <w:b/>
              </w:rPr>
            </w:pPr>
            <w:r>
              <w:rPr>
                <w:rFonts w:ascii="Century Gothic" w:hAnsi="Century Gothic" w:cs="Arial"/>
                <w:b/>
              </w:rPr>
              <w:t xml:space="preserve">ALFREDO RAFAEL DELUQUE ZULETA </w:t>
            </w:r>
          </w:p>
          <w:p w14:paraId="0861F07C" w14:textId="77777777" w:rsidR="004B09C5" w:rsidRPr="008B5447" w:rsidRDefault="004B09C5" w:rsidP="00182747">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4B728653" w14:textId="77777777" w:rsidR="009C6D73" w:rsidRDefault="009C6D73" w:rsidP="009C6D73">
            <w:pPr>
              <w:rPr>
                <w:rFonts w:ascii="Century Gothic" w:hAnsi="Century Gothic" w:cs="Arial"/>
                <w:bCs/>
                <w:color w:val="000000"/>
                <w:bdr w:val="none" w:sz="0" w:space="0" w:color="auto" w:frame="1"/>
                <w:shd w:val="clear" w:color="auto" w:fill="FFFFFF"/>
              </w:rPr>
            </w:pPr>
          </w:p>
          <w:p w14:paraId="6DF1E034" w14:textId="77777777" w:rsidR="004B09C5" w:rsidRPr="008B5447" w:rsidRDefault="004B09C5" w:rsidP="00182747">
            <w:pPr>
              <w:jc w:val="center"/>
              <w:rPr>
                <w:rFonts w:ascii="Century Gothic" w:hAnsi="Century Gothic" w:cs="Arial"/>
                <w:bCs/>
                <w:color w:val="000000"/>
                <w:bdr w:val="none" w:sz="0" w:space="0" w:color="auto" w:frame="1"/>
                <w:shd w:val="clear" w:color="auto" w:fill="FFFFFF"/>
              </w:rPr>
            </w:pPr>
            <w:r w:rsidRPr="008B5447">
              <w:rPr>
                <w:rFonts w:ascii="Century Gothic" w:hAnsi="Century Gothic" w:cs="Arial"/>
                <w:bCs/>
                <w:color w:val="000000"/>
                <w:bdr w:val="none" w:sz="0" w:space="0" w:color="auto" w:frame="1"/>
                <w:shd w:val="clear" w:color="auto" w:fill="FFFFFF"/>
              </w:rPr>
              <w:t>____________________________</w:t>
            </w:r>
          </w:p>
          <w:p w14:paraId="73330A6C" w14:textId="77777777" w:rsidR="004B09C5" w:rsidRDefault="004B09C5" w:rsidP="00182747">
            <w:pPr>
              <w:jc w:val="center"/>
              <w:rPr>
                <w:rFonts w:ascii="Century Gothic" w:hAnsi="Century Gothic" w:cs="Arial"/>
                <w:b/>
              </w:rPr>
            </w:pPr>
            <w:r>
              <w:rPr>
                <w:rFonts w:ascii="Century Gothic" w:hAnsi="Century Gothic" w:cs="Arial"/>
                <w:b/>
              </w:rPr>
              <w:t>NILTON CÓRDOBA MANYOMA</w:t>
            </w:r>
          </w:p>
          <w:p w14:paraId="0823C1DB" w14:textId="77777777" w:rsidR="004B09C5" w:rsidRPr="008B5447" w:rsidRDefault="004B09C5" w:rsidP="00182747">
            <w:pPr>
              <w:jc w:val="center"/>
              <w:rPr>
                <w:rFonts w:ascii="Century Gothic" w:hAnsi="Century Gothic" w:cs="Arial"/>
                <w:bCs/>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r>
      <w:tr w:rsidR="004B09C5" w:rsidRPr="008B5447" w14:paraId="121ACA90" w14:textId="77777777" w:rsidTr="00182747">
        <w:trPr>
          <w:trHeight w:val="2180"/>
        </w:trPr>
        <w:tc>
          <w:tcPr>
            <w:tcW w:w="4535" w:type="dxa"/>
          </w:tcPr>
          <w:p w14:paraId="68379EF6" w14:textId="77777777" w:rsidR="004B09C5" w:rsidRDefault="004B09C5" w:rsidP="00182747">
            <w:pPr>
              <w:rPr>
                <w:rFonts w:ascii="Century Gothic" w:hAnsi="Century Gothic" w:cs="Arial"/>
                <w:b/>
                <w:color w:val="000000"/>
                <w:bdr w:val="none" w:sz="0" w:space="0" w:color="auto" w:frame="1"/>
                <w:shd w:val="clear" w:color="auto" w:fill="FFFFFF"/>
              </w:rPr>
            </w:pPr>
          </w:p>
          <w:p w14:paraId="774865FF" w14:textId="77777777" w:rsidR="009C6D73" w:rsidRDefault="009C6D73" w:rsidP="00182747">
            <w:pPr>
              <w:rPr>
                <w:rFonts w:ascii="Century Gothic" w:hAnsi="Century Gothic" w:cs="Arial"/>
                <w:b/>
                <w:color w:val="000000"/>
                <w:bdr w:val="none" w:sz="0" w:space="0" w:color="auto" w:frame="1"/>
                <w:shd w:val="clear" w:color="auto" w:fill="FFFFFF"/>
              </w:rPr>
            </w:pPr>
          </w:p>
          <w:p w14:paraId="2F7DD4F5" w14:textId="77777777" w:rsidR="009C6D73" w:rsidRPr="008B5447" w:rsidRDefault="009C6D73" w:rsidP="00182747">
            <w:pPr>
              <w:rPr>
                <w:rFonts w:ascii="Century Gothic" w:hAnsi="Century Gothic" w:cs="Arial"/>
                <w:b/>
                <w:color w:val="000000"/>
                <w:bdr w:val="none" w:sz="0" w:space="0" w:color="auto" w:frame="1"/>
                <w:shd w:val="clear" w:color="auto" w:fill="FFFFFF"/>
              </w:rPr>
            </w:pPr>
          </w:p>
          <w:p w14:paraId="38DA2BBE" w14:textId="77777777" w:rsidR="004B09C5" w:rsidRPr="008B5447" w:rsidRDefault="004B09C5" w:rsidP="00182747">
            <w:pPr>
              <w:jc w:val="center"/>
              <w:rPr>
                <w:rFonts w:ascii="Century Gothic" w:hAnsi="Century Gothic" w:cs="Arial"/>
                <w:b/>
                <w:color w:val="000000"/>
                <w:bdr w:val="none" w:sz="0" w:space="0" w:color="auto" w:frame="1"/>
                <w:shd w:val="clear" w:color="auto" w:fill="FFFFFF"/>
              </w:rPr>
            </w:pPr>
            <w:r w:rsidRPr="008B5447">
              <w:rPr>
                <w:rFonts w:ascii="Century Gothic" w:hAnsi="Century Gothic" w:cs="Arial"/>
                <w:b/>
                <w:color w:val="000000"/>
                <w:bdr w:val="none" w:sz="0" w:space="0" w:color="auto" w:frame="1"/>
                <w:shd w:val="clear" w:color="auto" w:fill="FFFFFF"/>
              </w:rPr>
              <w:t>__________________________</w:t>
            </w:r>
          </w:p>
          <w:p w14:paraId="24CCF2D7" w14:textId="77777777" w:rsidR="004B09C5" w:rsidRDefault="004B09C5" w:rsidP="00182747">
            <w:pPr>
              <w:jc w:val="center"/>
              <w:rPr>
                <w:rFonts w:ascii="Century Gothic" w:hAnsi="Century Gothic" w:cs="Arial"/>
                <w:b/>
                <w:color w:val="000000"/>
                <w:bdr w:val="none" w:sz="0" w:space="0" w:color="auto" w:frame="1"/>
                <w:shd w:val="clear" w:color="auto" w:fill="FFFFFF"/>
              </w:rPr>
            </w:pPr>
            <w:r>
              <w:rPr>
                <w:rFonts w:ascii="Century Gothic" w:hAnsi="Century Gothic" w:cs="Arial"/>
                <w:b/>
                <w:color w:val="000000"/>
                <w:bdr w:val="none" w:sz="0" w:space="0" w:color="auto" w:frame="1"/>
                <w:shd w:val="clear" w:color="auto" w:fill="FFFFFF"/>
              </w:rPr>
              <w:t>ADRIANA MATIZ VARGAS</w:t>
            </w:r>
          </w:p>
          <w:p w14:paraId="658CDB46" w14:textId="77777777" w:rsidR="004B09C5" w:rsidRPr="008B5447" w:rsidRDefault="004B09C5" w:rsidP="00182747">
            <w:pPr>
              <w:jc w:val="center"/>
              <w:rPr>
                <w:rFonts w:ascii="Century Gothic" w:hAnsi="Century Gothic" w:cs="Arial"/>
                <w:b/>
                <w:color w:val="000000"/>
                <w:bdr w:val="none" w:sz="0" w:space="0" w:color="auto" w:frame="1"/>
                <w:shd w:val="clear" w:color="auto" w:fill="FFFFFF"/>
              </w:rPr>
            </w:pPr>
            <w:r>
              <w:rPr>
                <w:rFonts w:ascii="Century Gothic" w:hAnsi="Century Gothic" w:cs="Arial"/>
                <w:bCs/>
                <w:color w:val="000000"/>
                <w:bdr w:val="none" w:sz="0" w:space="0" w:color="auto" w:frame="1"/>
                <w:shd w:val="clear" w:color="auto" w:fill="FFFFFF"/>
              </w:rPr>
              <w:t>Ponente</w:t>
            </w:r>
          </w:p>
        </w:tc>
        <w:tc>
          <w:tcPr>
            <w:tcW w:w="4535" w:type="dxa"/>
          </w:tcPr>
          <w:p w14:paraId="67C4FCF8" w14:textId="77777777" w:rsidR="004B09C5" w:rsidRDefault="004B09C5" w:rsidP="00182747">
            <w:pPr>
              <w:rPr>
                <w:rFonts w:ascii="Century Gothic" w:hAnsi="Century Gothic" w:cs="Arial"/>
                <w:bCs/>
                <w:color w:val="000000"/>
                <w:bdr w:val="none" w:sz="0" w:space="0" w:color="auto" w:frame="1"/>
                <w:shd w:val="clear" w:color="auto" w:fill="FFFFFF"/>
              </w:rPr>
            </w:pPr>
          </w:p>
          <w:p w14:paraId="0B29AF8E" w14:textId="77777777" w:rsidR="004B09C5" w:rsidRPr="004B09C5" w:rsidRDefault="004B09C5" w:rsidP="00182747">
            <w:pPr>
              <w:rPr>
                <w:rFonts w:ascii="Century Gothic" w:hAnsi="Century Gothic" w:cs="Arial"/>
              </w:rPr>
            </w:pPr>
          </w:p>
          <w:p w14:paraId="59409EEB" w14:textId="77777777" w:rsidR="004B09C5" w:rsidRDefault="004B09C5" w:rsidP="00182747">
            <w:pPr>
              <w:rPr>
                <w:rFonts w:ascii="Century Gothic" w:hAnsi="Century Gothic" w:cs="Arial"/>
              </w:rPr>
            </w:pPr>
          </w:p>
          <w:p w14:paraId="1F1D9063" w14:textId="77777777" w:rsidR="004B09C5" w:rsidRDefault="004B09C5" w:rsidP="00182747">
            <w:pPr>
              <w:rPr>
                <w:rFonts w:ascii="Century Gothic" w:hAnsi="Century Gothic" w:cs="Arial"/>
              </w:rPr>
            </w:pPr>
          </w:p>
          <w:p w14:paraId="4C38F8D6" w14:textId="77777777" w:rsidR="004B09C5" w:rsidRDefault="004B09C5" w:rsidP="00182747">
            <w:pPr>
              <w:rPr>
                <w:rFonts w:ascii="Century Gothic" w:hAnsi="Century Gothic" w:cs="Arial"/>
              </w:rPr>
            </w:pPr>
          </w:p>
          <w:p w14:paraId="40AEFF89" w14:textId="2846F222" w:rsidR="009D4D98" w:rsidRPr="004B09C5" w:rsidRDefault="004B09C5" w:rsidP="009D4D98">
            <w:pPr>
              <w:jc w:val="center"/>
              <w:rPr>
                <w:rFonts w:ascii="Century Gothic" w:hAnsi="Century Gothic" w:cs="Arial"/>
              </w:rPr>
            </w:pPr>
            <w:r>
              <w:rPr>
                <w:rFonts w:ascii="Century Gothic" w:hAnsi="Century Gothic" w:cs="Arial"/>
              </w:rPr>
              <w:tab/>
            </w:r>
          </w:p>
          <w:p w14:paraId="273407C5" w14:textId="15F434DF" w:rsidR="004B09C5" w:rsidRPr="004B09C5" w:rsidRDefault="004B09C5" w:rsidP="00182747">
            <w:pPr>
              <w:tabs>
                <w:tab w:val="left" w:pos="1111"/>
              </w:tabs>
              <w:rPr>
                <w:rFonts w:ascii="Century Gothic" w:hAnsi="Century Gothic" w:cs="Arial"/>
              </w:rPr>
            </w:pPr>
            <w:bookmarkStart w:id="5" w:name="_GoBack"/>
            <w:bookmarkEnd w:id="5"/>
          </w:p>
        </w:tc>
      </w:tr>
      <w:tr w:rsidR="004B09C5" w:rsidRPr="008B5447" w14:paraId="217D6AD6" w14:textId="77777777" w:rsidTr="00182747">
        <w:trPr>
          <w:trHeight w:val="1601"/>
        </w:trPr>
        <w:tc>
          <w:tcPr>
            <w:tcW w:w="4535" w:type="dxa"/>
          </w:tcPr>
          <w:p w14:paraId="51DBE974" w14:textId="77777777" w:rsidR="004B09C5" w:rsidRPr="008B5447" w:rsidRDefault="004B09C5" w:rsidP="009C6D73">
            <w:pPr>
              <w:rPr>
                <w:rFonts w:ascii="Century Gothic" w:hAnsi="Century Gothic" w:cs="Arial"/>
                <w:bCs/>
                <w:color w:val="000000"/>
                <w:bdr w:val="none" w:sz="0" w:space="0" w:color="auto" w:frame="1"/>
                <w:shd w:val="clear" w:color="auto" w:fill="FFFFFF"/>
              </w:rPr>
            </w:pPr>
          </w:p>
        </w:tc>
        <w:tc>
          <w:tcPr>
            <w:tcW w:w="4535" w:type="dxa"/>
          </w:tcPr>
          <w:p w14:paraId="7C97F9C7" w14:textId="77777777" w:rsidR="004B09C5" w:rsidRPr="008B5447" w:rsidRDefault="004B09C5" w:rsidP="00182747">
            <w:pPr>
              <w:rPr>
                <w:rFonts w:ascii="Century Gothic" w:hAnsi="Century Gothic" w:cs="Arial"/>
                <w:bCs/>
                <w:color w:val="000000"/>
                <w:bdr w:val="none" w:sz="0" w:space="0" w:color="auto" w:frame="1"/>
                <w:shd w:val="clear" w:color="auto" w:fill="FFFFFF"/>
              </w:rPr>
            </w:pPr>
          </w:p>
          <w:p w14:paraId="6D56440C" w14:textId="77777777" w:rsidR="004B09C5" w:rsidRPr="00BE754E" w:rsidRDefault="004B09C5" w:rsidP="00182747">
            <w:pPr>
              <w:jc w:val="center"/>
              <w:rPr>
                <w:rFonts w:ascii="Century Gothic" w:hAnsi="Century Gothic" w:cs="Arial"/>
                <w:bCs/>
                <w:color w:val="000000"/>
                <w:bdr w:val="none" w:sz="0" w:space="0" w:color="auto" w:frame="1"/>
                <w:shd w:val="clear" w:color="auto" w:fill="FFFFFF"/>
              </w:rPr>
            </w:pPr>
          </w:p>
        </w:tc>
      </w:tr>
    </w:tbl>
    <w:p w14:paraId="1CBA6793" w14:textId="77777777" w:rsidR="00237B73" w:rsidRPr="00FD3C4C" w:rsidRDefault="00237B73" w:rsidP="00FD3C4C"/>
    <w:sectPr w:rsidR="00237B73" w:rsidRPr="00FD3C4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61A57" w14:textId="77777777" w:rsidR="00CA52B0" w:rsidRDefault="00CA52B0" w:rsidP="00A97A23">
      <w:r>
        <w:separator/>
      </w:r>
    </w:p>
  </w:endnote>
  <w:endnote w:type="continuationSeparator" w:id="0">
    <w:p w14:paraId="1211F5C8" w14:textId="77777777" w:rsidR="00CA52B0" w:rsidRDefault="00CA52B0"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1B48B" w14:textId="77777777" w:rsidR="00CA52B0" w:rsidRDefault="00CA52B0" w:rsidP="00A97A23">
      <w:r>
        <w:separator/>
      </w:r>
    </w:p>
  </w:footnote>
  <w:footnote w:type="continuationSeparator" w:id="0">
    <w:p w14:paraId="60F82C7F" w14:textId="77777777" w:rsidR="00CA52B0" w:rsidRDefault="00CA52B0" w:rsidP="00A97A23">
      <w:r>
        <w:continuationSeparator/>
      </w:r>
    </w:p>
  </w:footnote>
  <w:footnote w:id="1">
    <w:p w14:paraId="588B61B9" w14:textId="77777777" w:rsidR="00D50B6F" w:rsidRPr="00C50635" w:rsidRDefault="00D50B6F" w:rsidP="00D50B6F">
      <w:pPr>
        <w:jc w:val="both"/>
        <w:rPr>
          <w:rFonts w:ascii="Century Gothic" w:eastAsia="Times New Roman" w:hAnsi="Century Gothic"/>
          <w:sz w:val="18"/>
          <w:szCs w:val="18"/>
        </w:rPr>
      </w:pPr>
      <w:r w:rsidRPr="00C50635">
        <w:rPr>
          <w:rStyle w:val="Refdenotaalpie"/>
          <w:rFonts w:ascii="Century Gothic" w:hAnsi="Century Gothic"/>
        </w:rPr>
        <w:footnoteRef/>
      </w:r>
      <w:r w:rsidRPr="00C50635">
        <w:rPr>
          <w:rFonts w:ascii="Century Gothic" w:hAnsi="Century Gothic"/>
          <w:sz w:val="18"/>
          <w:szCs w:val="18"/>
        </w:rPr>
        <w:t xml:space="preserve"> </w:t>
      </w:r>
      <w:r w:rsidRPr="00C50635">
        <w:rPr>
          <w:rFonts w:ascii="Century Gothic" w:hAnsi="Century Gothic"/>
          <w:sz w:val="18"/>
          <w:szCs w:val="18"/>
          <w:lang w:val="es-ES_tradnl"/>
        </w:rPr>
        <w:t xml:space="preserve">UNICEF. (2018). </w:t>
      </w:r>
      <w:r w:rsidRPr="002627F7">
        <w:rPr>
          <w:rFonts w:ascii="Century Gothic" w:hAnsi="Century Gothic"/>
          <w:i/>
          <w:sz w:val="18"/>
          <w:szCs w:val="18"/>
          <w:lang w:val="es-ES_tradnl"/>
        </w:rPr>
        <w:t>Delitos de abuso y explotación sexual infantil</w:t>
      </w:r>
      <w:r>
        <w:rPr>
          <w:rFonts w:ascii="Century Gothic" w:hAnsi="Century Gothic"/>
          <w:sz w:val="18"/>
          <w:szCs w:val="18"/>
          <w:lang w:val="es-ES_tradnl"/>
        </w:rPr>
        <w:t xml:space="preserve">. </w:t>
      </w:r>
      <w:r w:rsidRPr="00C50635">
        <w:rPr>
          <w:rFonts w:ascii="Century Gothic" w:hAnsi="Century Gothic"/>
          <w:sz w:val="18"/>
          <w:szCs w:val="18"/>
          <w:lang w:val="es-ES_tradnl"/>
        </w:rPr>
        <w:t xml:space="preserve">Disponible en: </w:t>
      </w:r>
      <w:hyperlink r:id="rId1" w:history="1">
        <w:r w:rsidRPr="00C50635">
          <w:rPr>
            <w:rStyle w:val="Hipervnculo"/>
            <w:rFonts w:ascii="Century Gothic" w:eastAsia="Times New Roman" w:hAnsi="Century Gothic"/>
            <w:sz w:val="18"/>
            <w:szCs w:val="18"/>
          </w:rPr>
          <w:t>https://www.unicef.org/colombia/comunicados-prensa/delitos-de-abuso-y-explotacion-sexual-infantil</w:t>
        </w:r>
      </w:hyperlink>
    </w:p>
    <w:p w14:paraId="7630C866" w14:textId="77777777" w:rsidR="00D50B6F" w:rsidRPr="00C50635" w:rsidRDefault="00D50B6F" w:rsidP="00D50B6F">
      <w:pPr>
        <w:pStyle w:val="Textonotapie"/>
        <w:jc w:val="both"/>
        <w:rPr>
          <w:rFonts w:ascii="Century Gothic" w:hAnsi="Century Gothic"/>
          <w:sz w:val="18"/>
          <w:szCs w:val="18"/>
          <w:lang w:val="es-ES_tradnl"/>
        </w:rPr>
      </w:pPr>
    </w:p>
  </w:footnote>
  <w:footnote w:id="2">
    <w:p w14:paraId="4884FB39" w14:textId="77777777" w:rsidR="00D50B6F" w:rsidRPr="00C50635" w:rsidRDefault="00D50B6F" w:rsidP="00D50B6F">
      <w:pPr>
        <w:jc w:val="both"/>
        <w:rPr>
          <w:rFonts w:ascii="Century Gothic" w:eastAsia="Times New Roman" w:hAnsi="Century Gothic"/>
          <w:sz w:val="18"/>
          <w:szCs w:val="18"/>
        </w:rPr>
      </w:pPr>
      <w:r w:rsidRPr="00C50635">
        <w:rPr>
          <w:rStyle w:val="Refdenotaalpie"/>
          <w:rFonts w:ascii="Century Gothic" w:hAnsi="Century Gothic"/>
        </w:rPr>
        <w:footnoteRef/>
      </w:r>
      <w:r w:rsidRPr="00C50635">
        <w:rPr>
          <w:rFonts w:ascii="Century Gothic" w:hAnsi="Century Gothic"/>
          <w:sz w:val="18"/>
          <w:szCs w:val="18"/>
        </w:rPr>
        <w:t xml:space="preserve"> </w:t>
      </w:r>
      <w:r w:rsidRPr="00C50635">
        <w:rPr>
          <w:rFonts w:ascii="Century Gothic" w:eastAsia="Times New Roman" w:hAnsi="Century Gothic"/>
          <w:sz w:val="18"/>
          <w:szCs w:val="18"/>
        </w:rPr>
        <w:t xml:space="preserve">Instituto Nacional de Medicina Legal y Ciencias Forenses. (2019). </w:t>
      </w:r>
      <w:r w:rsidRPr="002627F7">
        <w:rPr>
          <w:rFonts w:ascii="Century Gothic" w:eastAsia="Times New Roman" w:hAnsi="Century Gothic"/>
          <w:i/>
          <w:sz w:val="18"/>
          <w:szCs w:val="18"/>
        </w:rPr>
        <w:t>Revista Forensis 2018 “Datos para la vida”</w:t>
      </w:r>
      <w:r w:rsidRPr="00C50635">
        <w:rPr>
          <w:rFonts w:ascii="Century Gothic" w:eastAsia="Times New Roman" w:hAnsi="Century Gothic"/>
          <w:sz w:val="18"/>
          <w:szCs w:val="18"/>
        </w:rPr>
        <w:t xml:space="preserve">, p. 232. </w:t>
      </w:r>
      <w:r w:rsidRPr="00C50635">
        <w:rPr>
          <w:rFonts w:ascii="Century Gothic" w:eastAsia="Times New Roman" w:hAnsi="Century Gothic"/>
          <w:sz w:val="18"/>
          <w:szCs w:val="18"/>
        </w:rPr>
        <w:t xml:space="preserve">Disponible </w:t>
      </w:r>
      <w:r w:rsidRPr="00C50635">
        <w:rPr>
          <w:rFonts w:ascii="Century Gothic" w:eastAsia="Times New Roman" w:hAnsi="Century Gothic"/>
          <w:sz w:val="18"/>
          <w:szCs w:val="18"/>
        </w:rPr>
        <w:t xml:space="preserve">en: </w:t>
      </w:r>
      <w:r w:rsidR="003F0201">
        <w:fldChar w:fldCharType="begin"/>
      </w:r>
      <w:r w:rsidR="003F0201">
        <w:instrText xml:space="preserve"> HYPERLINK "https://www.medicinalegal.gov.co/documents/20143/386932/Forensis+2018.pdf/be4816a4-3da3-1ff0-2779-e7b5e3962d60" </w:instrText>
      </w:r>
      <w:r w:rsidR="003F0201">
        <w:fldChar w:fldCharType="separate"/>
      </w:r>
      <w:r w:rsidRPr="00C50635">
        <w:rPr>
          <w:rStyle w:val="Hipervnculo"/>
          <w:rFonts w:ascii="Century Gothic" w:eastAsia="Times New Roman" w:hAnsi="Century Gothic"/>
          <w:sz w:val="18"/>
          <w:szCs w:val="18"/>
        </w:rPr>
        <w:t>https://www.medicinalegal.gov.co/documents/20143/386932/Forensis+2018.pdf/be4816a4-3da3-1ff0-2779-e7b5e3962d60</w:t>
      </w:r>
      <w:r w:rsidR="003F0201">
        <w:rPr>
          <w:rStyle w:val="Hipervnculo"/>
          <w:rFonts w:ascii="Century Gothic" w:eastAsia="Times New Roman" w:hAnsi="Century Gothic"/>
          <w:sz w:val="18"/>
          <w:szCs w:val="18"/>
        </w:rPr>
        <w:fldChar w:fldCharType="end"/>
      </w:r>
    </w:p>
    <w:p w14:paraId="30A69173" w14:textId="77777777" w:rsidR="00D50B6F" w:rsidRPr="00BD4557" w:rsidRDefault="00D50B6F" w:rsidP="00D50B6F">
      <w:pPr>
        <w:pStyle w:val="Textonotapie"/>
        <w:rPr>
          <w:lang w:val="es-ES_tradnl"/>
        </w:rPr>
      </w:pPr>
    </w:p>
  </w:footnote>
  <w:footnote w:id="3">
    <w:p w14:paraId="0126B728" w14:textId="77777777" w:rsidR="00D50B6F" w:rsidRPr="004E7D0A" w:rsidRDefault="00D50B6F" w:rsidP="00D50B6F">
      <w:pPr>
        <w:jc w:val="both"/>
        <w:rPr>
          <w:rFonts w:ascii="Century Gothic" w:hAnsi="Century Gothic"/>
          <w:color w:val="000000" w:themeColor="text1"/>
          <w:sz w:val="18"/>
          <w:szCs w:val="18"/>
        </w:rPr>
      </w:pPr>
      <w:r w:rsidRPr="004E7D0A">
        <w:rPr>
          <w:rFonts w:ascii="Century Gothic" w:hAnsi="Century Gothic"/>
          <w:color w:val="000000" w:themeColor="text1"/>
          <w:sz w:val="18"/>
          <w:szCs w:val="18"/>
        </w:rPr>
        <w:footnoteRef/>
      </w:r>
      <w:r w:rsidRPr="004E7D0A">
        <w:rPr>
          <w:rFonts w:ascii="Century Gothic" w:hAnsi="Century Gothic"/>
          <w:color w:val="000000" w:themeColor="text1"/>
          <w:sz w:val="18"/>
          <w:szCs w:val="18"/>
        </w:rPr>
        <w:t xml:space="preserve"> </w:t>
      </w:r>
      <w:r w:rsidRPr="004E7D0A">
        <w:rPr>
          <w:rFonts w:ascii="Century Gothic" w:hAnsi="Century Gothic"/>
          <w:color w:val="000000" w:themeColor="text1"/>
          <w:sz w:val="18"/>
          <w:szCs w:val="18"/>
        </w:rPr>
        <w:t xml:space="preserve">Revista Semana (2020). Abuso sexual de niños y niñas en Colombia: cifras de este grave delito. </w:t>
      </w:r>
      <w:r w:rsidRPr="004E7D0A">
        <w:rPr>
          <w:rFonts w:ascii="Century Gothic" w:hAnsi="Century Gothic"/>
          <w:color w:val="000000" w:themeColor="text1"/>
          <w:sz w:val="18"/>
          <w:szCs w:val="18"/>
        </w:rPr>
        <w:t xml:space="preserve">Disponible en: </w:t>
      </w:r>
      <w:r w:rsidR="003F0201">
        <w:fldChar w:fldCharType="begin"/>
      </w:r>
      <w:r w:rsidR="003F0201">
        <w:instrText xml:space="preserve"> HYPERLINK "https://www.semana.com/nacion/articulo/abuso-sexual-en-colombia-2020-cifras-de-medicina-legal-icbf-y-procuraduria/682120" </w:instrText>
      </w:r>
      <w:r w:rsidR="003F0201">
        <w:fldChar w:fldCharType="separate"/>
      </w:r>
      <w:r w:rsidRPr="004E7D0A">
        <w:rPr>
          <w:rFonts w:ascii="Century Gothic" w:hAnsi="Century Gothic"/>
          <w:color w:val="000000" w:themeColor="text1"/>
          <w:sz w:val="18"/>
          <w:szCs w:val="18"/>
        </w:rPr>
        <w:t>https://www.semana.com/nacion/articulo/abuso-sexual-en-colombia-2020-cifras-de-medicina-legal-icbf-y-procuraduria/682120</w:t>
      </w:r>
      <w:r w:rsidR="003F0201">
        <w:rPr>
          <w:rFonts w:ascii="Century Gothic" w:hAnsi="Century Gothic"/>
          <w:color w:val="000000" w:themeColor="text1"/>
          <w:sz w:val="18"/>
          <w:szCs w:val="18"/>
        </w:rPr>
        <w:fldChar w:fldCharType="end"/>
      </w:r>
    </w:p>
    <w:p w14:paraId="454D2CDB" w14:textId="77777777" w:rsidR="00D50B6F" w:rsidRPr="004E7D0A" w:rsidRDefault="00D50B6F" w:rsidP="00D50B6F">
      <w:pPr>
        <w:pStyle w:val="Textonotapie"/>
        <w:jc w:val="both"/>
        <w:rPr>
          <w:rFonts w:ascii="Century Gothic" w:hAnsi="Century Gothic"/>
          <w:color w:val="000000" w:themeColor="text1"/>
          <w:sz w:val="18"/>
          <w:szCs w:val="18"/>
        </w:rPr>
      </w:pPr>
    </w:p>
  </w:footnote>
  <w:footnote w:id="4">
    <w:p w14:paraId="3CBEB7A9" w14:textId="77777777" w:rsidR="00D50B6F" w:rsidRPr="004E7D0A" w:rsidRDefault="00D50B6F" w:rsidP="00D50B6F">
      <w:pPr>
        <w:jc w:val="both"/>
        <w:rPr>
          <w:rFonts w:ascii="Century Gothic" w:hAnsi="Century Gothic"/>
          <w:color w:val="000000" w:themeColor="text1"/>
          <w:sz w:val="18"/>
          <w:szCs w:val="18"/>
        </w:rPr>
      </w:pPr>
      <w:r w:rsidRPr="004E7D0A">
        <w:rPr>
          <w:rFonts w:ascii="Century Gothic" w:hAnsi="Century Gothic"/>
          <w:color w:val="000000" w:themeColor="text1"/>
          <w:sz w:val="18"/>
          <w:szCs w:val="18"/>
        </w:rPr>
        <w:footnoteRef/>
      </w:r>
      <w:r w:rsidRPr="004E7D0A">
        <w:rPr>
          <w:rFonts w:ascii="Century Gothic" w:hAnsi="Century Gothic"/>
          <w:color w:val="000000" w:themeColor="text1"/>
          <w:sz w:val="18"/>
          <w:szCs w:val="18"/>
        </w:rPr>
        <w:t xml:space="preserve"> </w:t>
      </w:r>
      <w:r w:rsidRPr="004E7D0A">
        <w:rPr>
          <w:rFonts w:ascii="Century Gothic" w:hAnsi="Century Gothic"/>
          <w:color w:val="000000" w:themeColor="text1"/>
          <w:sz w:val="18"/>
          <w:szCs w:val="18"/>
        </w:rPr>
        <w:t xml:space="preserve">Echeburúa E., De Corral P. </w:t>
      </w:r>
      <w:r w:rsidRPr="00B72AF7">
        <w:rPr>
          <w:rFonts w:ascii="Century Gothic" w:hAnsi="Century Gothic"/>
          <w:i/>
          <w:color w:val="000000" w:themeColor="text1"/>
          <w:sz w:val="18"/>
          <w:szCs w:val="18"/>
        </w:rPr>
        <w:t>Secuelas Emocionales en víctimas de abuso sexual en la infancia.</w:t>
      </w:r>
      <w:r w:rsidRPr="004E7D0A">
        <w:rPr>
          <w:rFonts w:ascii="Century Gothic" w:hAnsi="Century Gothic"/>
          <w:color w:val="000000" w:themeColor="text1"/>
          <w:sz w:val="18"/>
          <w:szCs w:val="18"/>
        </w:rPr>
        <w:t xml:space="preserve"> Cuad Med Forense 2006; 12(43-44):75-82.</w:t>
      </w:r>
    </w:p>
    <w:p w14:paraId="7B989520" w14:textId="77777777" w:rsidR="00D50B6F" w:rsidRPr="004E7D0A" w:rsidRDefault="00D50B6F" w:rsidP="00D50B6F">
      <w:pPr>
        <w:pStyle w:val="Textonotapie"/>
        <w:jc w:val="both"/>
        <w:rPr>
          <w:rFonts w:ascii="Century Gothic" w:hAnsi="Century Gothic"/>
          <w:color w:val="000000" w:themeColor="text1"/>
          <w:sz w:val="18"/>
          <w:szCs w:val="18"/>
        </w:rPr>
      </w:pPr>
    </w:p>
  </w:footnote>
  <w:footnote w:id="5">
    <w:p w14:paraId="279DD873" w14:textId="77777777" w:rsidR="00D50B6F" w:rsidRPr="00B72AF7" w:rsidRDefault="00D50B6F" w:rsidP="00D50B6F">
      <w:pPr>
        <w:jc w:val="both"/>
        <w:rPr>
          <w:rFonts w:ascii="Century Gothic" w:hAnsi="Century Gothic"/>
          <w:color w:val="000000" w:themeColor="text1"/>
          <w:sz w:val="18"/>
          <w:szCs w:val="18"/>
        </w:rPr>
      </w:pPr>
      <w:r>
        <w:rPr>
          <w:rStyle w:val="Refdenotaalpie"/>
        </w:rPr>
        <w:footnoteRef/>
      </w:r>
      <w:r>
        <w:t xml:space="preserve"> </w:t>
      </w:r>
      <w:r>
        <w:rPr>
          <w:rFonts w:ascii="Century Gothic" w:hAnsi="Century Gothic"/>
          <w:color w:val="000000" w:themeColor="text1"/>
          <w:sz w:val="18"/>
          <w:szCs w:val="18"/>
        </w:rPr>
        <w:t>Save the C</w:t>
      </w:r>
      <w:r w:rsidRPr="00B72AF7">
        <w:rPr>
          <w:rFonts w:ascii="Century Gothic" w:hAnsi="Century Gothic"/>
          <w:color w:val="000000" w:themeColor="text1"/>
          <w:sz w:val="18"/>
          <w:szCs w:val="18"/>
        </w:rPr>
        <w:t xml:space="preserve">hildren. </w:t>
      </w:r>
      <w:r w:rsidRPr="00B72AF7">
        <w:rPr>
          <w:rFonts w:ascii="Century Gothic" w:hAnsi="Century Gothic"/>
          <w:i/>
          <w:color w:val="000000" w:themeColor="text1"/>
          <w:sz w:val="18"/>
          <w:szCs w:val="18"/>
        </w:rPr>
        <w:t>Informe: Construyendo una vida mejor con la niñez.</w:t>
      </w:r>
      <w:r w:rsidRPr="00B72AF7">
        <w:rPr>
          <w:rFonts w:ascii="Century Gothic" w:hAnsi="Century Gothic"/>
          <w:color w:val="000000" w:themeColor="text1"/>
          <w:sz w:val="18"/>
          <w:szCs w:val="18"/>
        </w:rPr>
        <w:t xml:space="preserve"> (2019). </w:t>
      </w:r>
      <w:r w:rsidRPr="00B72AF7">
        <w:rPr>
          <w:rFonts w:ascii="Century Gothic" w:hAnsi="Century Gothic"/>
          <w:color w:val="000000" w:themeColor="text1"/>
          <w:sz w:val="18"/>
          <w:szCs w:val="18"/>
        </w:rPr>
        <w:t xml:space="preserve">Disponible en: </w:t>
      </w:r>
      <w:r w:rsidR="003F0201">
        <w:fldChar w:fldCharType="begin"/>
      </w:r>
      <w:r w:rsidR="003F0201">
        <w:instrText xml:space="preserve"> HYPERLINK "https://www.savethechildren.org.co/articulo/informe-construyendo-una-vida-mejor-con-la-ni%C3%B1ez" </w:instrText>
      </w:r>
      <w:r w:rsidR="003F0201">
        <w:fldChar w:fldCharType="separate"/>
      </w:r>
      <w:r w:rsidRPr="00B72AF7">
        <w:rPr>
          <w:rFonts w:ascii="Century Gothic" w:hAnsi="Century Gothic"/>
          <w:color w:val="000000" w:themeColor="text1"/>
          <w:sz w:val="18"/>
          <w:szCs w:val="18"/>
        </w:rPr>
        <w:t>https://www.savethechildren.org.co/articulo/informe-construyendo-una-vida-mejor-con-la-ni%C3%B1ez</w:t>
      </w:r>
      <w:r w:rsidR="003F0201">
        <w:rPr>
          <w:rFonts w:ascii="Century Gothic" w:hAnsi="Century Gothic"/>
          <w:color w:val="000000" w:themeColor="text1"/>
          <w:sz w:val="18"/>
          <w:szCs w:val="18"/>
        </w:rPr>
        <w:fldChar w:fldCharType="end"/>
      </w:r>
    </w:p>
    <w:p w14:paraId="6D8575F0" w14:textId="77777777" w:rsidR="00D50B6F" w:rsidRPr="00B72AF7" w:rsidRDefault="00D50B6F" w:rsidP="00D50B6F">
      <w:pPr>
        <w:pStyle w:val="Textonotapie"/>
        <w:jc w:val="both"/>
        <w:rPr>
          <w:lang w:val="es-ES_tradnl"/>
        </w:rPr>
      </w:pPr>
    </w:p>
  </w:footnote>
  <w:footnote w:id="6">
    <w:p w14:paraId="340A60F0" w14:textId="77777777" w:rsidR="00D50B6F" w:rsidRPr="00F36F92" w:rsidRDefault="00D50B6F" w:rsidP="00D50B6F">
      <w:pPr>
        <w:pStyle w:val="Textonotapie"/>
        <w:jc w:val="both"/>
        <w:rPr>
          <w:rFonts w:ascii="Century Gothic" w:hAnsi="Century Gothic"/>
          <w:sz w:val="18"/>
          <w:szCs w:val="18"/>
          <w:lang w:val="es-ES_tradnl"/>
        </w:rPr>
      </w:pPr>
      <w:r w:rsidRPr="00F36F92">
        <w:rPr>
          <w:rFonts w:ascii="Century Gothic" w:hAnsi="Century Gothic"/>
          <w:sz w:val="18"/>
          <w:szCs w:val="18"/>
          <w:lang w:val="es-ES_tradnl"/>
        </w:rPr>
        <w:footnoteRef/>
      </w:r>
      <w:r w:rsidRPr="00F36F92">
        <w:rPr>
          <w:rFonts w:ascii="Century Gothic" w:hAnsi="Century Gothic"/>
          <w:sz w:val="18"/>
          <w:szCs w:val="18"/>
          <w:lang w:val="es-ES_tradnl"/>
        </w:rPr>
        <w:t xml:space="preserve"> El Tiempo. </w:t>
      </w:r>
      <w:r w:rsidRPr="00F36F92">
        <w:rPr>
          <w:rFonts w:ascii="Century Gothic" w:hAnsi="Century Gothic"/>
          <w:i/>
          <w:sz w:val="18"/>
          <w:szCs w:val="18"/>
          <w:lang w:val="es-ES_tradnl"/>
        </w:rPr>
        <w:t>No cesa violencia contra menores: 38 fueron asesinados en enero</w:t>
      </w:r>
      <w:r w:rsidRPr="00F36F92">
        <w:rPr>
          <w:rFonts w:ascii="Century Gothic" w:hAnsi="Century Gothic"/>
          <w:sz w:val="18"/>
          <w:szCs w:val="18"/>
          <w:lang w:val="es-ES_tradnl"/>
        </w:rPr>
        <w:t xml:space="preserve">. (2020). Disponible en: </w:t>
      </w:r>
      <w:hyperlink r:id="rId2" w:history="1">
        <w:r w:rsidRPr="00F36F92">
          <w:rPr>
            <w:rFonts w:ascii="Century Gothic" w:hAnsi="Century Gothic"/>
            <w:sz w:val="18"/>
            <w:szCs w:val="18"/>
            <w:lang w:val="es-ES_tradnl"/>
          </w:rPr>
          <w:t>https://www.eltiempo.com/justicia/delitos/preocupantes-cifras-de-asesinatos-de-menores-en-colombia-en-enero-459730</w:t>
        </w:r>
      </w:hyperlink>
    </w:p>
    <w:p w14:paraId="0D35AEA2" w14:textId="77777777" w:rsidR="00D50B6F" w:rsidRPr="00F36F92" w:rsidRDefault="00D50B6F" w:rsidP="00D50B6F">
      <w:pPr>
        <w:pStyle w:val="Textonotapie"/>
        <w:rPr>
          <w:lang w:val="es-ES_tradnl"/>
        </w:rPr>
      </w:pPr>
    </w:p>
  </w:footnote>
  <w:footnote w:id="7">
    <w:p w14:paraId="5F792F5A" w14:textId="77777777" w:rsidR="00D50B6F" w:rsidRDefault="00D50B6F" w:rsidP="00D50B6F">
      <w:pPr>
        <w:pStyle w:val="Textonotapie"/>
        <w:rPr>
          <w:rFonts w:ascii="Century Gothic" w:hAnsi="Century Gothic"/>
          <w:sz w:val="18"/>
          <w:szCs w:val="18"/>
          <w:lang w:val="es-ES_tradnl"/>
        </w:rPr>
      </w:pPr>
      <w:r w:rsidRPr="004E0929">
        <w:rPr>
          <w:rStyle w:val="Refdenotaalpie"/>
          <w:rFonts w:ascii="Century Gothic" w:hAnsi="Century Gothic"/>
        </w:rPr>
        <w:footnoteRef/>
      </w:r>
      <w:r w:rsidRPr="004E0929">
        <w:rPr>
          <w:rFonts w:ascii="Century Gothic" w:hAnsi="Century Gothic"/>
          <w:sz w:val="18"/>
          <w:szCs w:val="18"/>
        </w:rPr>
        <w:t xml:space="preserve"> </w:t>
      </w:r>
      <w:proofErr w:type="spellStart"/>
      <w:r w:rsidRPr="004E0929">
        <w:rPr>
          <w:rFonts w:ascii="Century Gothic" w:hAnsi="Century Gothic"/>
          <w:sz w:val="18"/>
          <w:szCs w:val="18"/>
          <w:lang w:val="es-ES_tradnl"/>
        </w:rPr>
        <w:t>Save</w:t>
      </w:r>
      <w:proofErr w:type="spellEnd"/>
      <w:r w:rsidRPr="004E0929">
        <w:rPr>
          <w:rFonts w:ascii="Century Gothic" w:hAnsi="Century Gothic"/>
          <w:sz w:val="18"/>
          <w:szCs w:val="18"/>
          <w:lang w:val="es-ES_tradnl"/>
        </w:rPr>
        <w:t xml:space="preserve"> </w:t>
      </w:r>
      <w:proofErr w:type="spellStart"/>
      <w:r w:rsidRPr="004E0929">
        <w:rPr>
          <w:rFonts w:ascii="Century Gothic" w:hAnsi="Century Gothic"/>
          <w:sz w:val="18"/>
          <w:szCs w:val="18"/>
          <w:lang w:val="es-ES_tradnl"/>
        </w:rPr>
        <w:t>the</w:t>
      </w:r>
      <w:proofErr w:type="spellEnd"/>
      <w:r w:rsidRPr="004E0929">
        <w:rPr>
          <w:rFonts w:ascii="Century Gothic" w:hAnsi="Century Gothic"/>
          <w:sz w:val="18"/>
          <w:szCs w:val="18"/>
          <w:lang w:val="es-ES_tradnl"/>
        </w:rPr>
        <w:t xml:space="preserve"> </w:t>
      </w:r>
      <w:proofErr w:type="spellStart"/>
      <w:r w:rsidRPr="004E0929">
        <w:rPr>
          <w:rFonts w:ascii="Century Gothic" w:hAnsi="Century Gothic"/>
          <w:sz w:val="18"/>
          <w:szCs w:val="18"/>
          <w:lang w:val="es-ES_tradnl"/>
        </w:rPr>
        <w:t>Children</w:t>
      </w:r>
      <w:proofErr w:type="spellEnd"/>
      <w:r w:rsidRPr="004E0929">
        <w:rPr>
          <w:rFonts w:ascii="Century Gothic" w:hAnsi="Century Gothic"/>
          <w:sz w:val="18"/>
          <w:szCs w:val="18"/>
          <w:lang w:val="es-ES_tradnl"/>
        </w:rPr>
        <w:t xml:space="preserve">. (2019). Ibíd. </w:t>
      </w:r>
    </w:p>
    <w:p w14:paraId="471A79DE" w14:textId="77777777" w:rsidR="00D50B6F" w:rsidRPr="004E0929" w:rsidRDefault="00D50B6F" w:rsidP="00D50B6F">
      <w:pPr>
        <w:pStyle w:val="Textonotapie"/>
        <w:rPr>
          <w:rFonts w:ascii="Century Gothic" w:hAnsi="Century Gothic"/>
          <w:sz w:val="18"/>
          <w:szCs w:val="18"/>
          <w:lang w:val="es-ES_tradnl"/>
        </w:rPr>
      </w:pPr>
    </w:p>
  </w:footnote>
  <w:footnote w:id="8">
    <w:p w14:paraId="5DC2223F" w14:textId="77777777" w:rsidR="00D50B6F" w:rsidRDefault="00D50B6F" w:rsidP="00D50B6F">
      <w:pPr>
        <w:pStyle w:val="Textonotapie"/>
        <w:jc w:val="both"/>
        <w:rPr>
          <w:rFonts w:ascii="Century Gothic" w:hAnsi="Century Gothic"/>
          <w:color w:val="000000" w:themeColor="text1"/>
          <w:sz w:val="18"/>
          <w:szCs w:val="18"/>
        </w:rPr>
      </w:pPr>
      <w:r w:rsidRPr="004E7D0A">
        <w:rPr>
          <w:rFonts w:ascii="Century Gothic" w:hAnsi="Century Gothic"/>
          <w:color w:val="000000" w:themeColor="text1"/>
          <w:sz w:val="18"/>
          <w:szCs w:val="18"/>
        </w:rPr>
        <w:footnoteRef/>
      </w:r>
      <w:r w:rsidRPr="004E7D0A">
        <w:rPr>
          <w:rFonts w:ascii="Century Gothic" w:hAnsi="Century Gothic"/>
          <w:color w:val="000000" w:themeColor="text1"/>
          <w:sz w:val="18"/>
          <w:szCs w:val="18"/>
        </w:rPr>
        <w:t xml:space="preserve"> Revista Semana (2020). Ibíd. </w:t>
      </w:r>
    </w:p>
    <w:p w14:paraId="7BA8BA9A" w14:textId="77777777" w:rsidR="00D50B6F" w:rsidRPr="004E7D0A" w:rsidRDefault="00D50B6F" w:rsidP="00D50B6F">
      <w:pPr>
        <w:pStyle w:val="Textonotapie"/>
        <w:rPr>
          <w:rFonts w:ascii="Century Gothic" w:hAnsi="Century Gothic"/>
          <w:color w:val="000000" w:themeColor="text1"/>
          <w:sz w:val="18"/>
          <w:szCs w:val="18"/>
        </w:rPr>
      </w:pPr>
    </w:p>
  </w:footnote>
  <w:footnote w:id="9">
    <w:p w14:paraId="130B9F7B" w14:textId="77777777" w:rsidR="00D50B6F" w:rsidRDefault="00D50B6F" w:rsidP="00D50B6F">
      <w:pPr>
        <w:pStyle w:val="Textonotapie"/>
        <w:rPr>
          <w:lang w:val="es-ES_tradnl"/>
        </w:rPr>
      </w:pPr>
      <w:r w:rsidRPr="004E7D0A">
        <w:rPr>
          <w:rFonts w:ascii="Century Gothic" w:hAnsi="Century Gothic"/>
          <w:color w:val="000000" w:themeColor="text1"/>
          <w:sz w:val="18"/>
          <w:szCs w:val="18"/>
        </w:rPr>
        <w:footnoteRef/>
      </w:r>
      <w:r w:rsidRPr="004E7D0A">
        <w:rPr>
          <w:rFonts w:ascii="Century Gothic" w:hAnsi="Century Gothic"/>
          <w:color w:val="000000" w:themeColor="text1"/>
          <w:sz w:val="18"/>
          <w:szCs w:val="18"/>
        </w:rPr>
        <w:t xml:space="preserve"> Ibíd.</w:t>
      </w:r>
      <w:r>
        <w:rPr>
          <w:lang w:val="es-ES_tradnl"/>
        </w:rPr>
        <w:t xml:space="preserve"> </w:t>
      </w:r>
    </w:p>
    <w:p w14:paraId="3FF1FD23" w14:textId="77777777" w:rsidR="00D50B6F" w:rsidRPr="008F6103" w:rsidRDefault="00D50B6F" w:rsidP="00D50B6F">
      <w:pPr>
        <w:pStyle w:val="Textonotapie"/>
        <w:rPr>
          <w:lang w:val="es-ES_tradnl"/>
        </w:rPr>
      </w:pPr>
    </w:p>
  </w:footnote>
  <w:footnote w:id="10">
    <w:p w14:paraId="4188FE2F" w14:textId="77777777" w:rsidR="00D50B6F" w:rsidRPr="00884B2C" w:rsidRDefault="00D50B6F" w:rsidP="00D50B6F">
      <w:pPr>
        <w:jc w:val="both"/>
        <w:rPr>
          <w:rFonts w:ascii="Century Gothic" w:eastAsia="Times New Roman" w:hAnsi="Century Gothic"/>
          <w:sz w:val="18"/>
          <w:szCs w:val="18"/>
        </w:rPr>
      </w:pPr>
      <w:r w:rsidRPr="00884B2C">
        <w:rPr>
          <w:rStyle w:val="Refdenotaalpie"/>
          <w:rFonts w:ascii="Century Gothic" w:hAnsi="Century Gothic"/>
        </w:rPr>
        <w:footnoteRef/>
      </w:r>
      <w:r w:rsidRPr="00884B2C">
        <w:rPr>
          <w:rFonts w:ascii="Century Gothic" w:hAnsi="Century Gothic"/>
          <w:sz w:val="18"/>
          <w:szCs w:val="18"/>
        </w:rPr>
        <w:t xml:space="preserve"> </w:t>
      </w:r>
      <w:proofErr w:type="spellStart"/>
      <w:r w:rsidRPr="00884B2C">
        <w:rPr>
          <w:rFonts w:ascii="Century Gothic" w:hAnsi="Century Gothic"/>
          <w:sz w:val="18"/>
          <w:szCs w:val="18"/>
          <w:lang w:val="es-ES_tradnl"/>
        </w:rPr>
        <w:t>Save</w:t>
      </w:r>
      <w:proofErr w:type="spellEnd"/>
      <w:r w:rsidRPr="00884B2C">
        <w:rPr>
          <w:rFonts w:ascii="Century Gothic" w:hAnsi="Century Gothic"/>
          <w:sz w:val="18"/>
          <w:szCs w:val="18"/>
          <w:lang w:val="es-ES_tradnl"/>
        </w:rPr>
        <w:t xml:space="preserve"> </w:t>
      </w:r>
      <w:proofErr w:type="spellStart"/>
      <w:r w:rsidRPr="00884B2C">
        <w:rPr>
          <w:rFonts w:ascii="Century Gothic" w:hAnsi="Century Gothic"/>
          <w:sz w:val="18"/>
          <w:szCs w:val="18"/>
          <w:lang w:val="es-ES_tradnl"/>
        </w:rPr>
        <w:t>the</w:t>
      </w:r>
      <w:proofErr w:type="spellEnd"/>
      <w:r w:rsidRPr="00884B2C">
        <w:rPr>
          <w:rFonts w:ascii="Century Gothic" w:hAnsi="Century Gothic"/>
          <w:sz w:val="18"/>
          <w:szCs w:val="18"/>
          <w:lang w:val="es-ES_tradnl"/>
        </w:rPr>
        <w:t xml:space="preserve"> </w:t>
      </w:r>
      <w:proofErr w:type="spellStart"/>
      <w:r w:rsidRPr="00884B2C">
        <w:rPr>
          <w:rFonts w:ascii="Century Gothic" w:hAnsi="Century Gothic"/>
          <w:sz w:val="18"/>
          <w:szCs w:val="18"/>
          <w:lang w:val="es-ES_tradnl"/>
        </w:rPr>
        <w:t>Children</w:t>
      </w:r>
      <w:proofErr w:type="spellEnd"/>
      <w:r w:rsidRPr="00884B2C">
        <w:rPr>
          <w:rFonts w:ascii="Century Gothic" w:hAnsi="Century Gothic"/>
          <w:sz w:val="18"/>
          <w:szCs w:val="18"/>
          <w:lang w:val="es-ES_tradnl"/>
        </w:rPr>
        <w:t xml:space="preserve">. </w:t>
      </w:r>
      <w:r w:rsidRPr="007072B4">
        <w:rPr>
          <w:rFonts w:ascii="Century Gothic" w:hAnsi="Century Gothic"/>
          <w:i/>
          <w:sz w:val="18"/>
          <w:szCs w:val="18"/>
          <w:lang w:val="es-ES_tradnl"/>
        </w:rPr>
        <w:t>Acabar con la impunidad frente a la violencia sexual y los homicidios contra la niñez, es el principal reto</w:t>
      </w:r>
      <w:r w:rsidRPr="00884B2C">
        <w:rPr>
          <w:rFonts w:ascii="Century Gothic" w:hAnsi="Century Gothic"/>
          <w:sz w:val="18"/>
          <w:szCs w:val="18"/>
          <w:lang w:val="es-ES_tradnl"/>
        </w:rPr>
        <w:t xml:space="preserve">. (2019).  Disponible en: </w:t>
      </w:r>
      <w:hyperlink r:id="rId3" w:history="1">
        <w:r w:rsidRPr="00884B2C">
          <w:rPr>
            <w:rStyle w:val="Hipervnculo"/>
            <w:rFonts w:ascii="Century Gothic" w:eastAsia="Times New Roman" w:hAnsi="Century Gothic"/>
            <w:sz w:val="18"/>
            <w:szCs w:val="18"/>
          </w:rPr>
          <w:t>https://www.savethechildren.org.co/articulo/%E2%80%9Cacabar-con-la-impunidad-frente-la-violencia-sexual-y-los-homicidios-contra-la-ni%C3%B1ez-es-el</w:t>
        </w:r>
      </w:hyperlink>
    </w:p>
    <w:p w14:paraId="3F8C1C14" w14:textId="77777777" w:rsidR="00D50B6F" w:rsidRPr="00884B2C" w:rsidRDefault="00D50B6F" w:rsidP="00D50B6F">
      <w:pPr>
        <w:pStyle w:val="Textonotapie"/>
        <w:rPr>
          <w:rFonts w:ascii="Century Gothic" w:hAnsi="Century Gothic"/>
          <w:sz w:val="18"/>
          <w:szCs w:val="18"/>
          <w:lang w:val="es-ES_trad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6C8D" w14:textId="77777777" w:rsidR="00FC6658" w:rsidRDefault="00FC6658" w:rsidP="00C14269">
    <w:pPr>
      <w:pStyle w:val="Encabezado"/>
      <w:jc w:val="center"/>
    </w:pPr>
    <w:r>
      <w:rPr>
        <w:noProof/>
        <w:lang w:val="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12"/>
  </w:num>
  <w:num w:numId="5">
    <w:abstractNumId w:val="10"/>
  </w:num>
  <w:num w:numId="6">
    <w:abstractNumId w:val="3"/>
  </w:num>
  <w:num w:numId="7">
    <w:abstractNumId w:val="0"/>
  </w:num>
  <w:num w:numId="8">
    <w:abstractNumId w:val="6"/>
  </w:num>
  <w:num w:numId="9">
    <w:abstractNumId w:val="7"/>
  </w:num>
  <w:num w:numId="10">
    <w:abstractNumId w:val="4"/>
  </w:num>
  <w:num w:numId="11">
    <w:abstractNumId w:val="14"/>
  </w:num>
  <w:num w:numId="12">
    <w:abstractNumId w:val="11"/>
  </w:num>
  <w:num w:numId="13">
    <w:abstractNumId w:val="5"/>
  </w:num>
  <w:num w:numId="14">
    <w:abstractNumId w:val="16"/>
  </w:num>
  <w:num w:numId="15">
    <w:abstractNumId w:val="1"/>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07BD2"/>
    <w:rsid w:val="00016AE9"/>
    <w:rsid w:val="00032F9C"/>
    <w:rsid w:val="00043471"/>
    <w:rsid w:val="00052625"/>
    <w:rsid w:val="000612DF"/>
    <w:rsid w:val="00081863"/>
    <w:rsid w:val="000A26EE"/>
    <w:rsid w:val="000B1E37"/>
    <w:rsid w:val="000B5FA5"/>
    <w:rsid w:val="000C129B"/>
    <w:rsid w:val="000C3264"/>
    <w:rsid w:val="000C55D7"/>
    <w:rsid w:val="000E7CC2"/>
    <w:rsid w:val="0010029D"/>
    <w:rsid w:val="00114B12"/>
    <w:rsid w:val="0013145A"/>
    <w:rsid w:val="00141395"/>
    <w:rsid w:val="00160C73"/>
    <w:rsid w:val="00173E7E"/>
    <w:rsid w:val="0018726F"/>
    <w:rsid w:val="001C3DA8"/>
    <w:rsid w:val="00201AD2"/>
    <w:rsid w:val="00202DF1"/>
    <w:rsid w:val="00215092"/>
    <w:rsid w:val="002310DE"/>
    <w:rsid w:val="00235C13"/>
    <w:rsid w:val="00237B73"/>
    <w:rsid w:val="00250012"/>
    <w:rsid w:val="00251C43"/>
    <w:rsid w:val="0026003C"/>
    <w:rsid w:val="00261F1C"/>
    <w:rsid w:val="0028076B"/>
    <w:rsid w:val="002D34E9"/>
    <w:rsid w:val="002D4450"/>
    <w:rsid w:val="002E5BE4"/>
    <w:rsid w:val="00306376"/>
    <w:rsid w:val="0030741F"/>
    <w:rsid w:val="00312AEC"/>
    <w:rsid w:val="00313300"/>
    <w:rsid w:val="0032105D"/>
    <w:rsid w:val="00330DC6"/>
    <w:rsid w:val="003326BC"/>
    <w:rsid w:val="00334C9E"/>
    <w:rsid w:val="00335DAD"/>
    <w:rsid w:val="00351176"/>
    <w:rsid w:val="00351371"/>
    <w:rsid w:val="00355AE5"/>
    <w:rsid w:val="00367E30"/>
    <w:rsid w:val="00394C6D"/>
    <w:rsid w:val="003A700C"/>
    <w:rsid w:val="003B3BE5"/>
    <w:rsid w:val="003E2FA1"/>
    <w:rsid w:val="003E47C5"/>
    <w:rsid w:val="003F0201"/>
    <w:rsid w:val="00417B6D"/>
    <w:rsid w:val="00423146"/>
    <w:rsid w:val="0042722A"/>
    <w:rsid w:val="00434626"/>
    <w:rsid w:val="00437330"/>
    <w:rsid w:val="004403FE"/>
    <w:rsid w:val="00441D87"/>
    <w:rsid w:val="00451BDD"/>
    <w:rsid w:val="004535EB"/>
    <w:rsid w:val="004626D6"/>
    <w:rsid w:val="00473B6E"/>
    <w:rsid w:val="004A7599"/>
    <w:rsid w:val="004B09C5"/>
    <w:rsid w:val="004B1E46"/>
    <w:rsid w:val="004B4441"/>
    <w:rsid w:val="004B7FDC"/>
    <w:rsid w:val="004C3C74"/>
    <w:rsid w:val="004E3D48"/>
    <w:rsid w:val="004F0644"/>
    <w:rsid w:val="004F1CD9"/>
    <w:rsid w:val="004F36D1"/>
    <w:rsid w:val="00506AFF"/>
    <w:rsid w:val="00526AC5"/>
    <w:rsid w:val="00526C70"/>
    <w:rsid w:val="00541210"/>
    <w:rsid w:val="00544381"/>
    <w:rsid w:val="00552906"/>
    <w:rsid w:val="0056781D"/>
    <w:rsid w:val="0058237A"/>
    <w:rsid w:val="005875B8"/>
    <w:rsid w:val="005926E8"/>
    <w:rsid w:val="00595AA0"/>
    <w:rsid w:val="005B10F5"/>
    <w:rsid w:val="005B2B8D"/>
    <w:rsid w:val="005D1AEF"/>
    <w:rsid w:val="005D30CD"/>
    <w:rsid w:val="005F63E2"/>
    <w:rsid w:val="0060159A"/>
    <w:rsid w:val="00604455"/>
    <w:rsid w:val="00604561"/>
    <w:rsid w:val="0062746C"/>
    <w:rsid w:val="00632DE5"/>
    <w:rsid w:val="00635D08"/>
    <w:rsid w:val="006567D9"/>
    <w:rsid w:val="00675D85"/>
    <w:rsid w:val="0068389C"/>
    <w:rsid w:val="006B272D"/>
    <w:rsid w:val="006C2802"/>
    <w:rsid w:val="006C358C"/>
    <w:rsid w:val="006C3C2B"/>
    <w:rsid w:val="006F057C"/>
    <w:rsid w:val="006F4508"/>
    <w:rsid w:val="00702D49"/>
    <w:rsid w:val="0072025D"/>
    <w:rsid w:val="00731DB6"/>
    <w:rsid w:val="00736091"/>
    <w:rsid w:val="007363B6"/>
    <w:rsid w:val="00737B81"/>
    <w:rsid w:val="00743DC6"/>
    <w:rsid w:val="007548E4"/>
    <w:rsid w:val="0077383C"/>
    <w:rsid w:val="0077772A"/>
    <w:rsid w:val="0079165A"/>
    <w:rsid w:val="0079587F"/>
    <w:rsid w:val="00795F6F"/>
    <w:rsid w:val="007A2386"/>
    <w:rsid w:val="007B15BF"/>
    <w:rsid w:val="007C58CE"/>
    <w:rsid w:val="007D02A5"/>
    <w:rsid w:val="007D0487"/>
    <w:rsid w:val="007D0594"/>
    <w:rsid w:val="007E09CB"/>
    <w:rsid w:val="007E4797"/>
    <w:rsid w:val="007E756E"/>
    <w:rsid w:val="007F5CF1"/>
    <w:rsid w:val="007F6268"/>
    <w:rsid w:val="00803C09"/>
    <w:rsid w:val="00810CC2"/>
    <w:rsid w:val="008224B5"/>
    <w:rsid w:val="00826646"/>
    <w:rsid w:val="008509A8"/>
    <w:rsid w:val="00852361"/>
    <w:rsid w:val="00853EFE"/>
    <w:rsid w:val="0087269A"/>
    <w:rsid w:val="00884142"/>
    <w:rsid w:val="00892754"/>
    <w:rsid w:val="00893E00"/>
    <w:rsid w:val="008A3E08"/>
    <w:rsid w:val="008B5447"/>
    <w:rsid w:val="008E4534"/>
    <w:rsid w:val="008F3B4D"/>
    <w:rsid w:val="008F6976"/>
    <w:rsid w:val="00905E7F"/>
    <w:rsid w:val="009173F4"/>
    <w:rsid w:val="00951A17"/>
    <w:rsid w:val="00951B96"/>
    <w:rsid w:val="009607A9"/>
    <w:rsid w:val="009725C1"/>
    <w:rsid w:val="00983763"/>
    <w:rsid w:val="00985A29"/>
    <w:rsid w:val="00997885"/>
    <w:rsid w:val="009A14BC"/>
    <w:rsid w:val="009C2884"/>
    <w:rsid w:val="009C6D73"/>
    <w:rsid w:val="009D4D98"/>
    <w:rsid w:val="009E1B4C"/>
    <w:rsid w:val="009F20C0"/>
    <w:rsid w:val="00A17FA6"/>
    <w:rsid w:val="00A71CBD"/>
    <w:rsid w:val="00A90C9A"/>
    <w:rsid w:val="00A97A23"/>
    <w:rsid w:val="00AA17D6"/>
    <w:rsid w:val="00AA49A4"/>
    <w:rsid w:val="00AB14E0"/>
    <w:rsid w:val="00AC4244"/>
    <w:rsid w:val="00AD0FED"/>
    <w:rsid w:val="00AD20E5"/>
    <w:rsid w:val="00AE51D5"/>
    <w:rsid w:val="00AF7C2B"/>
    <w:rsid w:val="00B0685B"/>
    <w:rsid w:val="00B14E4D"/>
    <w:rsid w:val="00B303D0"/>
    <w:rsid w:val="00B41B23"/>
    <w:rsid w:val="00B455BB"/>
    <w:rsid w:val="00B45FB0"/>
    <w:rsid w:val="00B63EF4"/>
    <w:rsid w:val="00B67CE2"/>
    <w:rsid w:val="00B7338E"/>
    <w:rsid w:val="00B90F6C"/>
    <w:rsid w:val="00B931E9"/>
    <w:rsid w:val="00BA5C97"/>
    <w:rsid w:val="00BB26B0"/>
    <w:rsid w:val="00BB758E"/>
    <w:rsid w:val="00BB7E4F"/>
    <w:rsid w:val="00BE1D8A"/>
    <w:rsid w:val="00BE754E"/>
    <w:rsid w:val="00C01AD9"/>
    <w:rsid w:val="00C14269"/>
    <w:rsid w:val="00C220D4"/>
    <w:rsid w:val="00C55615"/>
    <w:rsid w:val="00C77EE3"/>
    <w:rsid w:val="00C82E26"/>
    <w:rsid w:val="00C853DD"/>
    <w:rsid w:val="00C87AC4"/>
    <w:rsid w:val="00CA3392"/>
    <w:rsid w:val="00CA4AE6"/>
    <w:rsid w:val="00CA4D3E"/>
    <w:rsid w:val="00CA52B0"/>
    <w:rsid w:val="00CB61D9"/>
    <w:rsid w:val="00CC7B21"/>
    <w:rsid w:val="00CD1C05"/>
    <w:rsid w:val="00CD3B57"/>
    <w:rsid w:val="00CE74FB"/>
    <w:rsid w:val="00CF1628"/>
    <w:rsid w:val="00CF2350"/>
    <w:rsid w:val="00CF36F4"/>
    <w:rsid w:val="00D1798B"/>
    <w:rsid w:val="00D20F00"/>
    <w:rsid w:val="00D22C53"/>
    <w:rsid w:val="00D3642C"/>
    <w:rsid w:val="00D37833"/>
    <w:rsid w:val="00D44F50"/>
    <w:rsid w:val="00D50B6F"/>
    <w:rsid w:val="00D66E0B"/>
    <w:rsid w:val="00D72958"/>
    <w:rsid w:val="00DA1F07"/>
    <w:rsid w:val="00DB4D0E"/>
    <w:rsid w:val="00DB4FD0"/>
    <w:rsid w:val="00DC0B32"/>
    <w:rsid w:val="00DC1ECD"/>
    <w:rsid w:val="00DD251D"/>
    <w:rsid w:val="00DD3CE0"/>
    <w:rsid w:val="00DE10D3"/>
    <w:rsid w:val="00DF63EB"/>
    <w:rsid w:val="00E15ADA"/>
    <w:rsid w:val="00E174DA"/>
    <w:rsid w:val="00E45F36"/>
    <w:rsid w:val="00E56760"/>
    <w:rsid w:val="00E679DC"/>
    <w:rsid w:val="00E71EF5"/>
    <w:rsid w:val="00E76D00"/>
    <w:rsid w:val="00E8068A"/>
    <w:rsid w:val="00E80FF5"/>
    <w:rsid w:val="00E90B0A"/>
    <w:rsid w:val="00E91550"/>
    <w:rsid w:val="00E93781"/>
    <w:rsid w:val="00EC0291"/>
    <w:rsid w:val="00EC5F64"/>
    <w:rsid w:val="00EE51B6"/>
    <w:rsid w:val="00EE7737"/>
    <w:rsid w:val="00EF5A76"/>
    <w:rsid w:val="00F009F9"/>
    <w:rsid w:val="00F21CEE"/>
    <w:rsid w:val="00F27869"/>
    <w:rsid w:val="00F31A64"/>
    <w:rsid w:val="00F45B79"/>
    <w:rsid w:val="00F515BA"/>
    <w:rsid w:val="00F51F58"/>
    <w:rsid w:val="00F64E9D"/>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FF5"/>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emana.com/noticias/abuso-sexual/105591" TargetMode="External"/><Relationship Id="rId9" Type="http://schemas.openxmlformats.org/officeDocument/2006/relationships/hyperlink" Target="http://www.secretariasenado.gov.co/senado/basedoc/ley_0906_2004_pr007.html"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colombia/comunicados-prensa/delitos-de-abuso-y-explotacion-sexual-infantil" TargetMode="External"/><Relationship Id="rId2" Type="http://schemas.openxmlformats.org/officeDocument/2006/relationships/hyperlink" Target="https://www.eltiempo.com/justicia/delitos/preocupantes-cifras-de-asesinatos-de-menores-en-colombia-en-enero-459730" TargetMode="External"/><Relationship Id="rId3" Type="http://schemas.openxmlformats.org/officeDocument/2006/relationships/hyperlink" Target="https://www.savethechildren.org.co/articulo/%E2%80%9Cacabar-con-la-impunidad-frente-la-violencia-sexual-y-los-homicidios-contra-la-ni%C3%B1ez-es-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36CB-ACFC-A948-88C2-630D1A7C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4272</Words>
  <Characters>23497</Characters>
  <Application>Microsoft Macintosh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Usuario de Microsoft Office</cp:lastModifiedBy>
  <cp:revision>54</cp:revision>
  <cp:lastPrinted>2019-11-12T22:52:00Z</cp:lastPrinted>
  <dcterms:created xsi:type="dcterms:W3CDTF">2020-08-20T18:41:00Z</dcterms:created>
  <dcterms:modified xsi:type="dcterms:W3CDTF">2020-09-04T00:23:00Z</dcterms:modified>
</cp:coreProperties>
</file>